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6B44634" w14:textId="57F863C7" w:rsidR="00DA00C8" w:rsidRPr="00764FEB" w:rsidRDefault="0019011C" w:rsidP="00386CF7">
      <w:pPr>
        <w:jc w:val="center"/>
        <w:rPr>
          <w:rFonts w:ascii="Cambria" w:hAnsi="Cambria"/>
          <w:b/>
          <w:bCs/>
          <w:sz w:val="28"/>
          <w:szCs w:val="28"/>
        </w:rPr>
      </w:pPr>
      <w:r w:rsidRPr="00764FEB">
        <w:rPr>
          <w:rFonts w:ascii="Cambria" w:hAnsi="Cambria"/>
          <w:b/>
          <w:bCs/>
          <w:sz w:val="28"/>
          <w:szCs w:val="28"/>
        </w:rPr>
        <w:t>RESULTADOS</w:t>
      </w:r>
      <w:r w:rsidRPr="00764FEB">
        <w:rPr>
          <w:rFonts w:ascii="Cambria" w:hAnsi="Cambria"/>
          <w:b/>
          <w:bCs/>
          <w:spacing w:val="1"/>
          <w:sz w:val="28"/>
          <w:szCs w:val="28"/>
        </w:rPr>
        <w:t xml:space="preserve"> </w:t>
      </w:r>
      <w:r w:rsidRPr="00764FEB">
        <w:rPr>
          <w:rFonts w:ascii="Cambria" w:hAnsi="Cambria"/>
          <w:b/>
          <w:bCs/>
          <w:sz w:val="28"/>
          <w:szCs w:val="28"/>
        </w:rPr>
        <w:t>INDICADORES</w:t>
      </w:r>
      <w:r w:rsidRPr="00764FEB">
        <w:rPr>
          <w:rFonts w:ascii="Cambria" w:hAnsi="Cambria"/>
          <w:b/>
          <w:bCs/>
          <w:spacing w:val="-165"/>
          <w:sz w:val="28"/>
          <w:szCs w:val="28"/>
        </w:rPr>
        <w:t xml:space="preserve"> </w:t>
      </w:r>
      <w:r w:rsidRPr="00764FEB">
        <w:rPr>
          <w:rFonts w:ascii="Cambria" w:hAnsi="Cambria"/>
          <w:b/>
          <w:bCs/>
          <w:sz w:val="28"/>
          <w:szCs w:val="28"/>
        </w:rPr>
        <w:t xml:space="preserve">DE </w:t>
      </w:r>
      <w:r w:rsidRPr="00764FEB">
        <w:rPr>
          <w:rFonts w:ascii="Cambria" w:hAnsi="Cambria"/>
          <w:b/>
          <w:bCs/>
          <w:sz w:val="28"/>
          <w:szCs w:val="28"/>
          <w:lang w:val="es-ES"/>
        </w:rPr>
        <w:t>SISTEMA INTEGRADO DE GESTIÓN Y ASEGURAMIENTO DE LA CALIDAD</w:t>
      </w:r>
      <w:r w:rsidRPr="00764FEB">
        <w:rPr>
          <w:rFonts w:ascii="Cambria" w:hAnsi="Cambria"/>
          <w:b/>
          <w:bCs/>
          <w:sz w:val="28"/>
          <w:szCs w:val="28"/>
        </w:rPr>
        <w:t xml:space="preserve"> 2024-I</w:t>
      </w:r>
    </w:p>
    <w:p w14:paraId="1E052357" w14:textId="77777777" w:rsidR="00386CF7" w:rsidRPr="00764FEB" w:rsidRDefault="00386CF7" w:rsidP="00386CF7">
      <w:pPr>
        <w:rPr>
          <w:rFonts w:ascii="Cambria" w:hAnsi="Cambria"/>
          <w:b/>
          <w:bCs/>
          <w:sz w:val="28"/>
          <w:szCs w:val="28"/>
        </w:rPr>
      </w:pPr>
    </w:p>
    <w:p w14:paraId="785307BC" w14:textId="03C34209" w:rsidR="00386CF7" w:rsidRPr="00764FEB" w:rsidRDefault="00386CF7" w:rsidP="00386CF7">
      <w:pPr>
        <w:rPr>
          <w:rFonts w:ascii="Cambria" w:hAnsi="Cambria"/>
          <w:b/>
          <w:bCs/>
          <w:sz w:val="28"/>
          <w:szCs w:val="28"/>
        </w:rPr>
      </w:pPr>
      <w:r w:rsidRPr="00764FEB">
        <w:rPr>
          <w:rFonts w:ascii="Cambria" w:hAnsi="Cambria"/>
          <w:b/>
          <w:bCs/>
          <w:sz w:val="28"/>
          <w:szCs w:val="28"/>
        </w:rPr>
        <w:t>POLÍTICAS DE OPERACIÓN</w:t>
      </w:r>
    </w:p>
    <w:p w14:paraId="7D20F03B" w14:textId="77777777" w:rsidR="00386CF7" w:rsidRDefault="00386CF7" w:rsidP="00386CF7">
      <w:pPr>
        <w:pStyle w:val="Textoindependiente"/>
        <w:spacing w:before="83" w:line="276" w:lineRule="auto"/>
        <w:ind w:right="314"/>
        <w:jc w:val="both"/>
      </w:pPr>
      <w:r>
        <w:t>Los indicadores institucionales responden a la planeación estratégica institucional y se convierten en elemento fundamental</w:t>
      </w:r>
      <w:r>
        <w:rPr>
          <w:spacing w:val="1"/>
        </w:rPr>
        <w:t xml:space="preserve"> </w:t>
      </w:r>
      <w:r>
        <w:t>para</w:t>
      </w:r>
      <w:r>
        <w:rPr>
          <w:spacing w:val="-2"/>
        </w:rPr>
        <w:t xml:space="preserve"> </w:t>
      </w:r>
      <w:r>
        <w:t>medir el cumplimiento</w:t>
      </w:r>
      <w:r>
        <w:rPr>
          <w:spacing w:val="-1"/>
        </w:rPr>
        <w:t xml:space="preserve"> </w:t>
      </w:r>
      <w:r>
        <w:t>de los</w:t>
      </w:r>
      <w:r>
        <w:rPr>
          <w:spacing w:val="-1"/>
        </w:rPr>
        <w:t xml:space="preserve"> </w:t>
      </w:r>
      <w:r>
        <w:t>planes</w:t>
      </w:r>
      <w:r>
        <w:rPr>
          <w:spacing w:val="3"/>
        </w:rPr>
        <w:t xml:space="preserve"> </w:t>
      </w:r>
      <w:r>
        <w:t>estratégicos.</w:t>
      </w:r>
    </w:p>
    <w:p w14:paraId="73ACF26E" w14:textId="77777777" w:rsidR="00386CF7" w:rsidRDefault="00386CF7" w:rsidP="00386CF7">
      <w:pPr>
        <w:pStyle w:val="Textoindependiente"/>
        <w:spacing w:before="201" w:line="276" w:lineRule="auto"/>
        <w:ind w:right="318"/>
        <w:jc w:val="both"/>
      </w:pPr>
      <w:r>
        <w:t>El procedimiento de Control de Indicadores es transversal a todos los procesos del Sistema Integral de Gestión de Calidad de la</w:t>
      </w:r>
      <w:r>
        <w:rPr>
          <w:spacing w:val="1"/>
        </w:rPr>
        <w:t xml:space="preserve"> </w:t>
      </w:r>
      <w:r>
        <w:t>Universidad</w:t>
      </w:r>
      <w:r>
        <w:rPr>
          <w:spacing w:val="-1"/>
        </w:rPr>
        <w:t xml:space="preserve"> </w:t>
      </w:r>
      <w:r>
        <w:t>de Córdoba</w:t>
      </w:r>
      <w:r>
        <w:rPr>
          <w:spacing w:val="-1"/>
        </w:rPr>
        <w:t xml:space="preserve"> </w:t>
      </w:r>
      <w:r>
        <w:t>(SIGEC).</w:t>
      </w:r>
    </w:p>
    <w:p w14:paraId="4CDD4E7C" w14:textId="77777777" w:rsidR="00386CF7" w:rsidRDefault="00386CF7" w:rsidP="00386CF7">
      <w:pPr>
        <w:pStyle w:val="Textoindependiente"/>
        <w:spacing w:before="200" w:line="276" w:lineRule="auto"/>
        <w:ind w:right="311"/>
        <w:jc w:val="both"/>
      </w:pPr>
      <w:r>
        <w:t>Los procesos Misionales y los estratégicos y de apoyo a la actividad académica, deben retroalimentar a las Facultades sobre los</w:t>
      </w:r>
      <w:r>
        <w:rPr>
          <w:spacing w:val="1"/>
        </w:rPr>
        <w:t xml:space="preserve"> </w:t>
      </w:r>
      <w:r>
        <w:t>resultados obtenidos en la medición y las acciones a desarrollar para el caso de los indicadores que no alcancen los resultados</w:t>
      </w:r>
      <w:r>
        <w:rPr>
          <w:spacing w:val="1"/>
        </w:rPr>
        <w:t xml:space="preserve"> </w:t>
      </w:r>
      <w:r>
        <w:t>esperados.</w:t>
      </w:r>
    </w:p>
    <w:p w14:paraId="6118D3DF" w14:textId="77777777" w:rsidR="00386CF7" w:rsidRDefault="00386CF7" w:rsidP="00386CF7">
      <w:pPr>
        <w:pStyle w:val="Textoindependiente"/>
        <w:spacing w:before="201" w:line="276" w:lineRule="auto"/>
        <w:ind w:right="318"/>
        <w:jc w:val="both"/>
      </w:pPr>
      <w:r>
        <w:t>El</w:t>
      </w:r>
      <w:r>
        <w:rPr>
          <w:spacing w:val="1"/>
        </w:rPr>
        <w:t xml:space="preserve"> </w:t>
      </w:r>
      <w:r>
        <w:t>Proceso</w:t>
      </w:r>
      <w:r>
        <w:rPr>
          <w:spacing w:val="1"/>
        </w:rPr>
        <w:t xml:space="preserve"> </w:t>
      </w:r>
      <w:r>
        <w:t>de</w:t>
      </w:r>
      <w:r>
        <w:rPr>
          <w:spacing w:val="1"/>
        </w:rPr>
        <w:t xml:space="preserve"> </w:t>
      </w:r>
      <w:r>
        <w:t>Planeación</w:t>
      </w:r>
      <w:r>
        <w:rPr>
          <w:spacing w:val="1"/>
        </w:rPr>
        <w:t xml:space="preserve"> </w:t>
      </w:r>
      <w:r>
        <w:t>Institucional</w:t>
      </w:r>
      <w:r>
        <w:rPr>
          <w:spacing w:val="1"/>
        </w:rPr>
        <w:t xml:space="preserve"> </w:t>
      </w:r>
      <w:r>
        <w:t>realiza</w:t>
      </w:r>
      <w:r>
        <w:rPr>
          <w:spacing w:val="1"/>
        </w:rPr>
        <w:t xml:space="preserve"> </w:t>
      </w:r>
      <w:r>
        <w:t>semestralmente,</w:t>
      </w:r>
      <w:r>
        <w:rPr>
          <w:spacing w:val="1"/>
        </w:rPr>
        <w:t xml:space="preserve"> </w:t>
      </w:r>
      <w:r>
        <w:t>seguimiento</w:t>
      </w:r>
      <w:r>
        <w:rPr>
          <w:spacing w:val="1"/>
        </w:rPr>
        <w:t xml:space="preserve"> </w:t>
      </w:r>
      <w:r>
        <w:t>a</w:t>
      </w:r>
      <w:r>
        <w:rPr>
          <w:spacing w:val="1"/>
        </w:rPr>
        <w:t xml:space="preserve"> </w:t>
      </w:r>
      <w:r>
        <w:t>los</w:t>
      </w:r>
      <w:r>
        <w:rPr>
          <w:spacing w:val="1"/>
        </w:rPr>
        <w:t xml:space="preserve"> </w:t>
      </w:r>
      <w:r>
        <w:t>indicadores</w:t>
      </w:r>
      <w:r>
        <w:rPr>
          <w:spacing w:val="1"/>
        </w:rPr>
        <w:t xml:space="preserve"> </w:t>
      </w:r>
      <w:r>
        <w:t>establecidos</w:t>
      </w:r>
      <w:r>
        <w:rPr>
          <w:spacing w:val="1"/>
        </w:rPr>
        <w:t xml:space="preserve"> </w:t>
      </w:r>
      <w:r>
        <w:t>por</w:t>
      </w:r>
      <w:r>
        <w:rPr>
          <w:spacing w:val="1"/>
        </w:rPr>
        <w:t xml:space="preserve"> </w:t>
      </w:r>
      <w:r>
        <w:t>todos</w:t>
      </w:r>
      <w:r>
        <w:rPr>
          <w:spacing w:val="1"/>
        </w:rPr>
        <w:t xml:space="preserve"> </w:t>
      </w:r>
      <w:r>
        <w:t>los</w:t>
      </w:r>
      <w:r>
        <w:rPr>
          <w:spacing w:val="1"/>
        </w:rPr>
        <w:t xml:space="preserve"> </w:t>
      </w:r>
      <w:r>
        <w:t>procesos del SIGEC.</w:t>
      </w:r>
      <w:r>
        <w:rPr>
          <w:spacing w:val="1"/>
        </w:rPr>
        <w:t xml:space="preserve"> </w:t>
      </w:r>
      <w:r>
        <w:t>Sin embargo,</w:t>
      </w:r>
      <w:r>
        <w:rPr>
          <w:spacing w:val="1"/>
        </w:rPr>
        <w:t xml:space="preserve"> </w:t>
      </w:r>
      <w:r>
        <w:t>si es pertinente,</w:t>
      </w:r>
      <w:r>
        <w:rPr>
          <w:spacing w:val="1"/>
        </w:rPr>
        <w:t xml:space="preserve"> </w:t>
      </w:r>
      <w:r>
        <w:t>el Líder de cada Proceso puede hacerlo en</w:t>
      </w:r>
      <w:r>
        <w:rPr>
          <w:spacing w:val="1"/>
        </w:rPr>
        <w:t xml:space="preserve"> </w:t>
      </w:r>
      <w:r>
        <w:t>el término y</w:t>
      </w:r>
      <w:r>
        <w:rPr>
          <w:spacing w:val="52"/>
        </w:rPr>
        <w:t xml:space="preserve"> </w:t>
      </w:r>
      <w:r>
        <w:t>periodo que</w:t>
      </w:r>
      <w:r>
        <w:rPr>
          <w:spacing w:val="1"/>
        </w:rPr>
        <w:t xml:space="preserve"> </w:t>
      </w:r>
      <w:r>
        <w:t>considere</w:t>
      </w:r>
      <w:r>
        <w:rPr>
          <w:spacing w:val="-1"/>
        </w:rPr>
        <w:t xml:space="preserve"> </w:t>
      </w:r>
      <w:r>
        <w:t>conveniente.</w:t>
      </w:r>
    </w:p>
    <w:p w14:paraId="1084F046" w14:textId="77777777" w:rsidR="00386CF7" w:rsidRDefault="00386CF7" w:rsidP="00386CF7">
      <w:pPr>
        <w:pStyle w:val="Textoindependiente"/>
        <w:spacing w:before="200" w:line="276" w:lineRule="auto"/>
        <w:ind w:right="316"/>
        <w:jc w:val="both"/>
      </w:pPr>
      <w:r>
        <w:t>El proceso de Planeación Institucional definirá en conjunto con los procesos, las metas a establecer para cada indicador. De no</w:t>
      </w:r>
      <w:r>
        <w:rPr>
          <w:spacing w:val="1"/>
        </w:rPr>
        <w:t xml:space="preserve"> </w:t>
      </w:r>
      <w:r>
        <w:t>existir</w:t>
      </w:r>
      <w:r>
        <w:rPr>
          <w:spacing w:val="-2"/>
        </w:rPr>
        <w:t xml:space="preserve"> </w:t>
      </w:r>
      <w:r>
        <w:t>acuerdo,</w:t>
      </w:r>
      <w:r>
        <w:rPr>
          <w:spacing w:val="1"/>
        </w:rPr>
        <w:t xml:space="preserve"> </w:t>
      </w:r>
      <w:r>
        <w:t>ésta</w:t>
      </w:r>
      <w:r>
        <w:rPr>
          <w:spacing w:val="-1"/>
        </w:rPr>
        <w:t xml:space="preserve"> </w:t>
      </w:r>
      <w:r>
        <w:t>será dirimida</w:t>
      </w:r>
      <w:r>
        <w:rPr>
          <w:spacing w:val="-3"/>
        </w:rPr>
        <w:t xml:space="preserve"> </w:t>
      </w:r>
      <w:r>
        <w:t>por</w:t>
      </w:r>
      <w:r>
        <w:rPr>
          <w:spacing w:val="-2"/>
        </w:rPr>
        <w:t xml:space="preserve"> </w:t>
      </w:r>
      <w:r>
        <w:t>el proceso de</w:t>
      </w:r>
      <w:r>
        <w:rPr>
          <w:spacing w:val="3"/>
        </w:rPr>
        <w:t xml:space="preserve"> </w:t>
      </w:r>
      <w:r>
        <w:t>Gestión</w:t>
      </w:r>
      <w:r>
        <w:rPr>
          <w:spacing w:val="-3"/>
        </w:rPr>
        <w:t xml:space="preserve"> </w:t>
      </w:r>
      <w:r>
        <w:t>de</w:t>
      </w:r>
      <w:r>
        <w:rPr>
          <w:spacing w:val="-1"/>
        </w:rPr>
        <w:t xml:space="preserve"> </w:t>
      </w:r>
      <w:r>
        <w:t>la Calidad.</w:t>
      </w:r>
    </w:p>
    <w:p w14:paraId="5702743C" w14:textId="77777777" w:rsidR="00386CF7" w:rsidRDefault="00386CF7" w:rsidP="00386CF7">
      <w:pPr>
        <w:pStyle w:val="Textoindependiente"/>
        <w:spacing w:before="200" w:line="276" w:lineRule="auto"/>
        <w:ind w:right="316"/>
        <w:jc w:val="both"/>
      </w:pPr>
      <w:r>
        <w:t>Cuando los resultados planificados no se alcanzan, es necesario implementar acciones correctivas o de mejora, según sea apropiado, para asegurar la conformidad del servicio prestado. En caso de no cumplir con la meta institucional del indicador, se debe desarrollar un plan de mejora con el objetivo de que en la siguiente medición el desempeño del indicador mejore.</w:t>
      </w:r>
    </w:p>
    <w:p w14:paraId="3BD1DD3B" w14:textId="77777777" w:rsidR="00386CF7" w:rsidRDefault="00386CF7" w:rsidP="00386CF7">
      <w:pPr>
        <w:rPr>
          <w:b/>
          <w:bCs/>
          <w:sz w:val="32"/>
          <w:szCs w:val="32"/>
        </w:rPr>
      </w:pPr>
    </w:p>
    <w:p w14:paraId="58DBB341" w14:textId="77777777" w:rsidR="001D52AC" w:rsidRDefault="001D52AC" w:rsidP="00386CF7">
      <w:pPr>
        <w:rPr>
          <w:b/>
          <w:bCs/>
          <w:sz w:val="32"/>
          <w:szCs w:val="32"/>
        </w:rPr>
      </w:pPr>
    </w:p>
    <w:p w14:paraId="51581A54" w14:textId="77777777" w:rsidR="001D52AC" w:rsidRDefault="001D52AC" w:rsidP="00386CF7">
      <w:pPr>
        <w:rPr>
          <w:b/>
          <w:bCs/>
          <w:sz w:val="32"/>
          <w:szCs w:val="32"/>
        </w:rPr>
      </w:pPr>
    </w:p>
    <w:p w14:paraId="003B6B2E" w14:textId="77777777" w:rsidR="001D52AC" w:rsidRDefault="001D52AC" w:rsidP="00386CF7">
      <w:pPr>
        <w:rPr>
          <w:b/>
          <w:bCs/>
          <w:sz w:val="32"/>
          <w:szCs w:val="32"/>
        </w:rPr>
      </w:pPr>
    </w:p>
    <w:p w14:paraId="76DA7E39" w14:textId="3729563B" w:rsidR="001D52AC" w:rsidRPr="00764FEB" w:rsidRDefault="001D52AC" w:rsidP="00386CF7">
      <w:pPr>
        <w:rPr>
          <w:rFonts w:ascii="Cambria" w:hAnsi="Cambria"/>
          <w:b/>
          <w:bCs/>
          <w:sz w:val="28"/>
          <w:szCs w:val="28"/>
        </w:rPr>
      </w:pPr>
      <w:r w:rsidRPr="00764FEB">
        <w:rPr>
          <w:rFonts w:ascii="Cambria" w:hAnsi="Cambria"/>
          <w:b/>
          <w:bCs/>
          <w:sz w:val="28"/>
          <w:szCs w:val="28"/>
        </w:rPr>
        <w:lastRenderedPageBreak/>
        <w:t>RESULTADOS GENERALES</w:t>
      </w:r>
    </w:p>
    <w:p w14:paraId="51BC2EE9" w14:textId="3AC5AB89" w:rsidR="00A06027" w:rsidRPr="000F0C49" w:rsidRDefault="001D52AC" w:rsidP="000F0C49">
      <w:pPr>
        <w:jc w:val="both"/>
        <w:rPr>
          <w:rFonts w:ascii="Cambria" w:hAnsi="Cambria"/>
          <w:sz w:val="24"/>
          <w:szCs w:val="24"/>
        </w:rPr>
      </w:pPr>
      <w:r w:rsidRPr="000F0C49">
        <w:rPr>
          <w:rFonts w:ascii="Cambria" w:eastAsia="Times New Roman" w:hAnsi="Cambria" w:cs="Arial"/>
          <w:color w:val="000000"/>
          <w:sz w:val="24"/>
          <w:szCs w:val="24"/>
          <w:lang w:val="es-MX" w:eastAsia="es-CO"/>
        </w:rPr>
        <w:t>En el marco de la medición de </w:t>
      </w:r>
      <w:r w:rsidR="000F0C49" w:rsidRPr="000F0C49">
        <w:rPr>
          <w:rFonts w:ascii="Cambria" w:hAnsi="Cambria"/>
          <w:sz w:val="24"/>
          <w:szCs w:val="24"/>
        </w:rPr>
        <w:t>sistema integrado de gestión y aseguramiento de la calidad</w:t>
      </w:r>
      <w:r w:rsidRPr="000F0C49">
        <w:rPr>
          <w:rFonts w:ascii="Cambria" w:eastAsia="Times New Roman" w:hAnsi="Cambria" w:cs="Arial"/>
          <w:b/>
          <w:bCs/>
          <w:color w:val="000000"/>
          <w:sz w:val="24"/>
          <w:szCs w:val="24"/>
          <w:lang w:val="es-MX" w:eastAsia="es-CO"/>
        </w:rPr>
        <w:t xml:space="preserve"> </w:t>
      </w:r>
      <w:r w:rsidRPr="000F0C49">
        <w:rPr>
          <w:rFonts w:ascii="Cambria" w:eastAsia="Times New Roman" w:hAnsi="Cambria" w:cs="Arial"/>
          <w:color w:val="000000"/>
          <w:sz w:val="24"/>
          <w:szCs w:val="24"/>
          <w:lang w:val="es-MX" w:eastAsia="es-CO"/>
        </w:rPr>
        <w:t>asociados a los distintos procesos inmersos en la</w:t>
      </w:r>
      <w:r w:rsidRPr="000F0C49">
        <w:rPr>
          <w:rFonts w:ascii="Cambria" w:eastAsia="Times New Roman" w:hAnsi="Cambria" w:cs="Arial"/>
          <w:b/>
          <w:bCs/>
          <w:color w:val="000000"/>
          <w:sz w:val="24"/>
          <w:szCs w:val="24"/>
          <w:lang w:val="es-MX" w:eastAsia="es-CO"/>
        </w:rPr>
        <w:t xml:space="preserve"> Universidad de Córdoba, </w:t>
      </w:r>
      <w:r w:rsidRPr="000F0C49">
        <w:rPr>
          <w:rFonts w:ascii="Cambria" w:eastAsia="Times New Roman" w:hAnsi="Cambria" w:cs="Arial"/>
          <w:color w:val="000000"/>
          <w:sz w:val="24"/>
          <w:szCs w:val="24"/>
          <w:lang w:val="es-MX" w:eastAsia="es-CO"/>
        </w:rPr>
        <w:t>que se adelanta desde la</w:t>
      </w:r>
      <w:r w:rsidRPr="000F0C49">
        <w:rPr>
          <w:rFonts w:ascii="Cambria" w:eastAsia="Times New Roman" w:hAnsi="Cambria" w:cs="Arial"/>
          <w:b/>
          <w:bCs/>
          <w:color w:val="000000"/>
          <w:sz w:val="24"/>
          <w:szCs w:val="24"/>
          <w:lang w:val="es-MX" w:eastAsia="es-CO"/>
        </w:rPr>
        <w:t xml:space="preserve"> dirección de Planeación y Desarrollo - Oficina de Información Estadística, </w:t>
      </w:r>
      <w:r w:rsidRPr="000F0C49">
        <w:rPr>
          <w:rFonts w:ascii="Cambria" w:eastAsia="Times New Roman" w:hAnsi="Cambria" w:cs="Arial"/>
          <w:color w:val="000000"/>
          <w:sz w:val="24"/>
          <w:szCs w:val="24"/>
          <w:lang w:val="es-MX" w:eastAsia="es-CO"/>
        </w:rPr>
        <w:t>se</w:t>
      </w:r>
      <w:r w:rsidRPr="000F0C49">
        <w:rPr>
          <w:rFonts w:ascii="Cambria" w:eastAsia="Times New Roman" w:hAnsi="Cambria" w:cs="Arial"/>
          <w:b/>
          <w:bCs/>
          <w:color w:val="000000"/>
          <w:sz w:val="24"/>
          <w:szCs w:val="24"/>
          <w:lang w:val="es-MX" w:eastAsia="es-CO"/>
        </w:rPr>
        <w:t> </w:t>
      </w:r>
      <w:r w:rsidRPr="000F0C49">
        <w:rPr>
          <w:rFonts w:ascii="Cambria" w:eastAsia="Times New Roman" w:hAnsi="Cambria" w:cs="Arial"/>
          <w:color w:val="000000"/>
          <w:sz w:val="24"/>
          <w:szCs w:val="24"/>
          <w:lang w:val="es-MX" w:eastAsia="es-CO"/>
        </w:rPr>
        <w:t>evidencia el comportamiento de la gestión de cada proceso para el 2024-I, de acuerdo con su periodicidad de medición.</w:t>
      </w:r>
    </w:p>
    <w:p w14:paraId="09340FC8" w14:textId="77777777" w:rsidR="001D52AC" w:rsidRPr="001D52AC" w:rsidRDefault="001D52AC" w:rsidP="001D52AC">
      <w:pPr>
        <w:pStyle w:val="Textoindependiente"/>
        <w:spacing w:before="83" w:line="276" w:lineRule="auto"/>
        <w:ind w:right="312"/>
        <w:jc w:val="both"/>
        <w:rPr>
          <w:rFonts w:eastAsia="Times New Roman" w:cs="Arial"/>
          <w:color w:val="000000"/>
          <w:lang w:eastAsia="es-CO"/>
        </w:rPr>
      </w:pPr>
      <w:r w:rsidRPr="001D52AC">
        <w:rPr>
          <w:rFonts w:eastAsia="Times New Roman" w:cs="Arial"/>
          <w:color w:val="000000"/>
          <w:lang w:val="es-MX" w:eastAsia="es-CO"/>
        </w:rPr>
        <w:t>A continuación, se </w:t>
      </w:r>
      <w:r w:rsidRPr="001D52AC">
        <w:rPr>
          <w:rFonts w:eastAsia="Times New Roman" w:cs="Arial"/>
          <w:color w:val="000000"/>
          <w:lang w:eastAsia="es-CO"/>
        </w:rPr>
        <w:t xml:space="preserve">muestran </w:t>
      </w:r>
      <w:r w:rsidRPr="000F0C49">
        <w:rPr>
          <w:rFonts w:eastAsia="Times New Roman" w:cs="Arial"/>
          <w:color w:val="000000"/>
          <w:lang w:eastAsia="es-CO"/>
        </w:rPr>
        <w:t>los resultados obtenidos de la nueva versión del</w:t>
      </w:r>
      <w:r w:rsidRPr="001D52AC">
        <w:rPr>
          <w:rFonts w:eastAsia="Times New Roman" w:cs="Arial"/>
          <w:b/>
          <w:bCs/>
          <w:color w:val="000000"/>
          <w:lang w:eastAsia="es-CO"/>
        </w:rPr>
        <w:t xml:space="preserve"> software de indicadores (SCII) </w:t>
      </w:r>
      <w:r w:rsidRPr="001D52AC">
        <w:rPr>
          <w:rFonts w:eastAsia="Times New Roman" w:cs="Arial"/>
          <w:color w:val="000000"/>
          <w:lang w:eastAsia="es-CO"/>
        </w:rPr>
        <w:t>con corte del 20/09/2024, que hacen parte de la gestión para el primer semestre del presente año.</w:t>
      </w:r>
    </w:p>
    <w:p w14:paraId="2B2F5474" w14:textId="77EDFC62" w:rsidR="001D52AC" w:rsidRPr="001D52AC" w:rsidRDefault="001D52AC" w:rsidP="001D52AC">
      <w:pPr>
        <w:pStyle w:val="Textoindependiente"/>
        <w:spacing w:before="83" w:line="276" w:lineRule="auto"/>
        <w:ind w:right="312"/>
        <w:jc w:val="both"/>
      </w:pPr>
      <w:r w:rsidRPr="001D52AC">
        <w:t xml:space="preserve">Del total de indicadores definidos por el </w:t>
      </w:r>
      <w:r w:rsidR="000F0C49">
        <w:t>S</w:t>
      </w:r>
      <w:r w:rsidR="000F0C49" w:rsidRPr="000F0C49">
        <w:t xml:space="preserve">istema </w:t>
      </w:r>
      <w:r w:rsidR="000F0C49">
        <w:t>I</w:t>
      </w:r>
      <w:r w:rsidR="000F0C49" w:rsidRPr="000F0C49">
        <w:t xml:space="preserve">ntegrado de </w:t>
      </w:r>
      <w:r w:rsidR="000F0C49">
        <w:t>G</w:t>
      </w:r>
      <w:r w:rsidR="000F0C49" w:rsidRPr="000F0C49">
        <w:t xml:space="preserve">estión y </w:t>
      </w:r>
      <w:r w:rsidR="000F0C49">
        <w:t>A</w:t>
      </w:r>
      <w:r w:rsidR="000F0C49" w:rsidRPr="000F0C49">
        <w:t xml:space="preserve">seguramiento de la </w:t>
      </w:r>
      <w:r w:rsidR="000F0C49">
        <w:t>C</w:t>
      </w:r>
      <w:r w:rsidR="000F0C49" w:rsidRPr="000F0C49">
        <w:t>alidad</w:t>
      </w:r>
      <w:r w:rsidR="000F0C49" w:rsidRPr="000F0C49">
        <w:rPr>
          <w:rFonts w:eastAsia="Times New Roman" w:cs="Arial"/>
          <w:b/>
          <w:bCs/>
          <w:color w:val="000000"/>
          <w:lang w:val="es-MX" w:eastAsia="es-CO"/>
        </w:rPr>
        <w:t xml:space="preserve"> </w:t>
      </w:r>
      <w:r w:rsidRPr="001D52AC">
        <w:t>para el primer semestre de 2024, se evaluaron 70 indicadores. De estos, 63 mostraron un desempeño satisfactorio, 2 no se midieron y mientras que 5 estuvieron por debajo de la meta institucional establecida.</w:t>
      </w:r>
    </w:p>
    <w:p w14:paraId="51C7AFCB" w14:textId="77777777" w:rsidR="001D52AC" w:rsidRPr="001D52AC" w:rsidRDefault="001D52AC" w:rsidP="001D52AC">
      <w:pPr>
        <w:pStyle w:val="Textoindependiente"/>
        <w:spacing w:before="83" w:line="276" w:lineRule="auto"/>
        <w:ind w:right="312"/>
        <w:jc w:val="both"/>
      </w:pPr>
      <w:r w:rsidRPr="001D52AC">
        <w:t>Los</w:t>
      </w:r>
      <w:r w:rsidRPr="001D52AC">
        <w:rPr>
          <w:spacing w:val="-4"/>
        </w:rPr>
        <w:t xml:space="preserve"> </w:t>
      </w:r>
      <w:r w:rsidRPr="001A119D">
        <w:rPr>
          <w:bCs/>
        </w:rPr>
        <w:t>2</w:t>
      </w:r>
      <w:r w:rsidRPr="001D52AC">
        <w:rPr>
          <w:b/>
          <w:spacing w:val="-4"/>
        </w:rPr>
        <w:t xml:space="preserve"> </w:t>
      </w:r>
      <w:r w:rsidRPr="001D52AC">
        <w:t>indicadores</w:t>
      </w:r>
      <w:r w:rsidRPr="001D52AC">
        <w:rPr>
          <w:spacing w:val="-2"/>
        </w:rPr>
        <w:t xml:space="preserve"> </w:t>
      </w:r>
      <w:r w:rsidRPr="001D52AC">
        <w:t>que no se realizó las debidas</w:t>
      </w:r>
      <w:r w:rsidRPr="001D52AC">
        <w:rPr>
          <w:spacing w:val="-3"/>
        </w:rPr>
        <w:t xml:space="preserve"> </w:t>
      </w:r>
      <w:r w:rsidRPr="001D52AC">
        <w:t>mediciones</w:t>
      </w:r>
    </w:p>
    <w:p w14:paraId="74AFEDC9" w14:textId="77777777" w:rsidR="001D52AC" w:rsidRPr="001D52AC" w:rsidRDefault="001D52AC" w:rsidP="001D52AC">
      <w:pPr>
        <w:pStyle w:val="Textoindependiente"/>
        <w:spacing w:before="5"/>
        <w:rPr>
          <w:b/>
          <w:szCs w:val="16"/>
        </w:rPr>
      </w:pPr>
    </w:p>
    <w:p w14:paraId="1C423F91" w14:textId="77777777" w:rsidR="001D52AC" w:rsidRPr="001D52AC" w:rsidRDefault="001D52AC" w:rsidP="001D52AC">
      <w:pPr>
        <w:pStyle w:val="Textoindependiente"/>
        <w:numPr>
          <w:ilvl w:val="0"/>
          <w:numId w:val="6"/>
        </w:numPr>
        <w:spacing w:before="5"/>
        <w:rPr>
          <w:b/>
          <w:szCs w:val="16"/>
        </w:rPr>
      </w:pPr>
      <w:r w:rsidRPr="001D52AC">
        <w:rPr>
          <w:b/>
          <w:szCs w:val="16"/>
        </w:rPr>
        <w:t>Estudiantes vinculados en actividades de investigación: (Investigación)</w:t>
      </w:r>
    </w:p>
    <w:p w14:paraId="348D67C8" w14:textId="77777777" w:rsidR="001D52AC" w:rsidRPr="001D52AC" w:rsidRDefault="001D52AC" w:rsidP="001D52AC">
      <w:pPr>
        <w:pStyle w:val="Textoindependiente"/>
        <w:numPr>
          <w:ilvl w:val="0"/>
          <w:numId w:val="6"/>
        </w:numPr>
        <w:spacing w:before="5"/>
        <w:rPr>
          <w:b/>
          <w:szCs w:val="16"/>
        </w:rPr>
      </w:pPr>
      <w:r w:rsidRPr="001D52AC">
        <w:rPr>
          <w:b/>
          <w:szCs w:val="16"/>
        </w:rPr>
        <w:t>Docentes de tiempo completo vinculados en el desarrollo de la Investigación: (Investigación)</w:t>
      </w:r>
    </w:p>
    <w:p w14:paraId="2FD32FC9" w14:textId="77777777" w:rsidR="001D52AC" w:rsidRPr="001D52AC" w:rsidRDefault="001D52AC" w:rsidP="001D52AC">
      <w:pPr>
        <w:pStyle w:val="Textoindependiente"/>
        <w:spacing w:before="5"/>
        <w:ind w:left="720"/>
        <w:rPr>
          <w:b/>
          <w:szCs w:val="16"/>
        </w:rPr>
      </w:pPr>
    </w:p>
    <w:p w14:paraId="5F81E699" w14:textId="06CB0ECB" w:rsidR="001D52AC" w:rsidRPr="0035506C" w:rsidRDefault="001D52AC" w:rsidP="0035506C">
      <w:pPr>
        <w:rPr>
          <w:rFonts w:ascii="Cambria" w:hAnsi="Cambria"/>
          <w:bCs/>
          <w:sz w:val="24"/>
        </w:rPr>
      </w:pPr>
      <w:r w:rsidRPr="001D52AC">
        <w:rPr>
          <w:rFonts w:ascii="Cambria" w:hAnsi="Cambria"/>
          <w:sz w:val="24"/>
        </w:rPr>
        <w:t>De los</w:t>
      </w:r>
      <w:r w:rsidRPr="001D52AC">
        <w:rPr>
          <w:rFonts w:ascii="Cambria" w:hAnsi="Cambria"/>
          <w:spacing w:val="-4"/>
          <w:sz w:val="24"/>
        </w:rPr>
        <w:t xml:space="preserve"> </w:t>
      </w:r>
      <w:r w:rsidRPr="001A119D">
        <w:rPr>
          <w:rFonts w:ascii="Cambria" w:hAnsi="Cambria"/>
          <w:bCs/>
          <w:sz w:val="24"/>
        </w:rPr>
        <w:t>5</w:t>
      </w:r>
      <w:r w:rsidRPr="001D52AC">
        <w:rPr>
          <w:rFonts w:ascii="Cambria" w:hAnsi="Cambria"/>
          <w:b/>
          <w:spacing w:val="-4"/>
          <w:sz w:val="24"/>
        </w:rPr>
        <w:t xml:space="preserve"> </w:t>
      </w:r>
      <w:r w:rsidRPr="001D52AC">
        <w:rPr>
          <w:rFonts w:ascii="Cambria" w:hAnsi="Cambria"/>
          <w:sz w:val="24"/>
        </w:rPr>
        <w:t>indicadores</w:t>
      </w:r>
      <w:r w:rsidRPr="001D52AC">
        <w:rPr>
          <w:rFonts w:ascii="Cambria" w:hAnsi="Cambria"/>
          <w:spacing w:val="-2"/>
          <w:sz w:val="24"/>
        </w:rPr>
        <w:t xml:space="preserve"> </w:t>
      </w:r>
      <w:r w:rsidRPr="001D52AC">
        <w:rPr>
          <w:rFonts w:ascii="Cambria" w:hAnsi="Cambria"/>
          <w:sz w:val="24"/>
        </w:rPr>
        <w:t>obtuvieron</w:t>
      </w:r>
      <w:r w:rsidRPr="001D52AC">
        <w:rPr>
          <w:rFonts w:ascii="Cambria" w:hAnsi="Cambria"/>
          <w:spacing w:val="-3"/>
          <w:sz w:val="24"/>
        </w:rPr>
        <w:t xml:space="preserve"> </w:t>
      </w:r>
      <w:r w:rsidRPr="001D52AC">
        <w:rPr>
          <w:rFonts w:ascii="Cambria" w:hAnsi="Cambria"/>
          <w:sz w:val="24"/>
        </w:rPr>
        <w:t xml:space="preserve">mediciones </w:t>
      </w:r>
      <w:r w:rsidRPr="001D52AC">
        <w:rPr>
          <w:rFonts w:ascii="Cambria" w:hAnsi="Cambria"/>
          <w:b/>
          <w:sz w:val="24"/>
        </w:rPr>
        <w:t>insuficientes</w:t>
      </w:r>
      <w:r w:rsidRPr="001D52AC">
        <w:rPr>
          <w:rFonts w:ascii="Cambria" w:hAnsi="Cambria"/>
          <w:b/>
          <w:spacing w:val="-3"/>
          <w:sz w:val="24"/>
        </w:rPr>
        <w:t xml:space="preserve"> </w:t>
      </w:r>
      <w:r w:rsidRPr="001D52AC">
        <w:rPr>
          <w:rFonts w:ascii="Cambria" w:hAnsi="Cambria"/>
          <w:b/>
          <w:sz w:val="24"/>
        </w:rPr>
        <w:t>y</w:t>
      </w:r>
      <w:r w:rsidRPr="001D52AC">
        <w:rPr>
          <w:rFonts w:ascii="Cambria" w:hAnsi="Cambria"/>
          <w:b/>
          <w:spacing w:val="-3"/>
          <w:sz w:val="24"/>
        </w:rPr>
        <w:t xml:space="preserve"> </w:t>
      </w:r>
      <w:r w:rsidRPr="001D52AC">
        <w:rPr>
          <w:rFonts w:ascii="Cambria" w:hAnsi="Cambria"/>
          <w:bCs/>
          <w:sz w:val="24"/>
        </w:rPr>
        <w:t>deben</w:t>
      </w:r>
      <w:r w:rsidRPr="001D52AC">
        <w:rPr>
          <w:rFonts w:ascii="Cambria" w:hAnsi="Cambria"/>
          <w:bCs/>
          <w:spacing w:val="-4"/>
          <w:sz w:val="24"/>
        </w:rPr>
        <w:t xml:space="preserve"> </w:t>
      </w:r>
      <w:r w:rsidRPr="001D52AC">
        <w:rPr>
          <w:rFonts w:ascii="Cambria" w:hAnsi="Cambria"/>
          <w:bCs/>
          <w:sz w:val="24"/>
        </w:rPr>
        <w:t>presentar</w:t>
      </w:r>
      <w:r w:rsidRPr="001D52AC">
        <w:rPr>
          <w:rFonts w:ascii="Cambria" w:hAnsi="Cambria"/>
          <w:bCs/>
          <w:spacing w:val="-4"/>
          <w:sz w:val="24"/>
        </w:rPr>
        <w:t xml:space="preserve"> </w:t>
      </w:r>
      <w:r w:rsidRPr="001D52AC">
        <w:rPr>
          <w:rFonts w:ascii="Cambria" w:hAnsi="Cambria"/>
          <w:bCs/>
          <w:sz w:val="24"/>
        </w:rPr>
        <w:t>plan</w:t>
      </w:r>
      <w:r w:rsidRPr="001D52AC">
        <w:rPr>
          <w:rFonts w:ascii="Cambria" w:hAnsi="Cambria"/>
          <w:bCs/>
          <w:spacing w:val="-3"/>
          <w:sz w:val="24"/>
        </w:rPr>
        <w:t xml:space="preserve"> </w:t>
      </w:r>
      <w:r w:rsidRPr="001D52AC">
        <w:rPr>
          <w:rFonts w:ascii="Cambria" w:hAnsi="Cambria"/>
          <w:bCs/>
          <w:sz w:val="24"/>
        </w:rPr>
        <w:t>de</w:t>
      </w:r>
      <w:r w:rsidRPr="001D52AC">
        <w:rPr>
          <w:rFonts w:ascii="Cambria" w:hAnsi="Cambria"/>
          <w:bCs/>
          <w:spacing w:val="-4"/>
          <w:sz w:val="24"/>
        </w:rPr>
        <w:t xml:space="preserve"> </w:t>
      </w:r>
      <w:r w:rsidRPr="001D52AC">
        <w:rPr>
          <w:rFonts w:ascii="Cambria" w:hAnsi="Cambria"/>
          <w:bCs/>
          <w:sz w:val="24"/>
        </w:rPr>
        <w:t>mejoramiento:</w:t>
      </w:r>
    </w:p>
    <w:p w14:paraId="157851FA" w14:textId="77777777" w:rsidR="001D52AC" w:rsidRPr="001D52AC" w:rsidRDefault="001D52AC" w:rsidP="001D52AC">
      <w:pPr>
        <w:pStyle w:val="Prrafodelista"/>
        <w:widowControl w:val="0"/>
        <w:numPr>
          <w:ilvl w:val="0"/>
          <w:numId w:val="5"/>
        </w:numPr>
        <w:autoSpaceDE w:val="0"/>
        <w:autoSpaceDN w:val="0"/>
        <w:spacing w:before="41" w:after="0" w:line="240" w:lineRule="auto"/>
        <w:contextualSpacing w:val="0"/>
        <w:jc w:val="left"/>
        <w:rPr>
          <w:rFonts w:ascii="Cambria" w:hAnsi="Cambria"/>
          <w:b/>
          <w:bCs/>
        </w:rPr>
      </w:pPr>
      <w:r w:rsidRPr="001D52AC">
        <w:rPr>
          <w:rFonts w:ascii="Cambria" w:hAnsi="Cambria"/>
          <w:b/>
          <w:bCs/>
        </w:rPr>
        <w:t>Uso de las bases de datos por docentes: (Docencia)</w:t>
      </w:r>
    </w:p>
    <w:p w14:paraId="43EDA7DB" w14:textId="77777777" w:rsidR="001D52AC" w:rsidRPr="001D52AC" w:rsidRDefault="001D52AC" w:rsidP="001D52AC">
      <w:pPr>
        <w:pStyle w:val="Prrafodelista"/>
        <w:widowControl w:val="0"/>
        <w:numPr>
          <w:ilvl w:val="0"/>
          <w:numId w:val="5"/>
        </w:numPr>
        <w:autoSpaceDE w:val="0"/>
        <w:autoSpaceDN w:val="0"/>
        <w:spacing w:before="41" w:after="0" w:line="240" w:lineRule="auto"/>
        <w:contextualSpacing w:val="0"/>
        <w:jc w:val="left"/>
        <w:rPr>
          <w:rFonts w:ascii="Cambria" w:hAnsi="Cambria"/>
          <w:b/>
          <w:bCs/>
        </w:rPr>
      </w:pPr>
      <w:r w:rsidRPr="001D52AC">
        <w:rPr>
          <w:rFonts w:ascii="Cambria" w:hAnsi="Cambria"/>
          <w:b/>
          <w:bCs/>
        </w:rPr>
        <w:t>Uso de las bases de datos por estudiantes: (Docencia)</w:t>
      </w:r>
    </w:p>
    <w:p w14:paraId="0F4D53B4" w14:textId="77777777" w:rsidR="001D52AC" w:rsidRPr="001D52AC" w:rsidRDefault="001D52AC" w:rsidP="001D52AC">
      <w:pPr>
        <w:pStyle w:val="Prrafodelista"/>
        <w:widowControl w:val="0"/>
        <w:numPr>
          <w:ilvl w:val="0"/>
          <w:numId w:val="5"/>
        </w:numPr>
        <w:autoSpaceDE w:val="0"/>
        <w:autoSpaceDN w:val="0"/>
        <w:spacing w:before="41" w:after="0" w:line="240" w:lineRule="auto"/>
        <w:contextualSpacing w:val="0"/>
        <w:jc w:val="left"/>
        <w:rPr>
          <w:rFonts w:ascii="Cambria" w:hAnsi="Cambria"/>
          <w:b/>
          <w:bCs/>
        </w:rPr>
      </w:pPr>
      <w:r w:rsidRPr="001D52AC">
        <w:rPr>
          <w:rFonts w:ascii="Cambria" w:hAnsi="Cambria"/>
          <w:b/>
          <w:bCs/>
        </w:rPr>
        <w:t>Riesgos materializados: (Seguimiento y Control)</w:t>
      </w:r>
    </w:p>
    <w:p w14:paraId="2490DD62" w14:textId="77777777" w:rsidR="001D52AC" w:rsidRPr="001D52AC" w:rsidRDefault="001D52AC" w:rsidP="001D52AC">
      <w:pPr>
        <w:pStyle w:val="Prrafodelista"/>
        <w:widowControl w:val="0"/>
        <w:numPr>
          <w:ilvl w:val="0"/>
          <w:numId w:val="5"/>
        </w:numPr>
        <w:autoSpaceDE w:val="0"/>
        <w:autoSpaceDN w:val="0"/>
        <w:spacing w:before="41" w:after="0" w:line="240" w:lineRule="auto"/>
        <w:contextualSpacing w:val="0"/>
        <w:jc w:val="left"/>
        <w:rPr>
          <w:rFonts w:ascii="Cambria" w:hAnsi="Cambria"/>
          <w:b/>
          <w:bCs/>
        </w:rPr>
      </w:pPr>
      <w:r w:rsidRPr="001D52AC">
        <w:rPr>
          <w:rFonts w:ascii="Cambria" w:hAnsi="Cambria"/>
          <w:b/>
          <w:bCs/>
        </w:rPr>
        <w:t>Porcentaje de usuarios capacitados en el uso de la Biblioteca y sus recursos: (Gestión de Biblioteca)</w:t>
      </w:r>
    </w:p>
    <w:p w14:paraId="6489CCE5" w14:textId="77777777" w:rsidR="001D52AC" w:rsidRPr="001D52AC" w:rsidRDefault="001D52AC" w:rsidP="001D52AC">
      <w:pPr>
        <w:pStyle w:val="Prrafodelista"/>
        <w:widowControl w:val="0"/>
        <w:numPr>
          <w:ilvl w:val="0"/>
          <w:numId w:val="5"/>
        </w:numPr>
        <w:autoSpaceDE w:val="0"/>
        <w:autoSpaceDN w:val="0"/>
        <w:spacing w:before="41" w:after="0" w:line="240" w:lineRule="auto"/>
        <w:contextualSpacing w:val="0"/>
        <w:jc w:val="left"/>
        <w:rPr>
          <w:rFonts w:ascii="Cambria" w:hAnsi="Cambria"/>
          <w:b/>
          <w:bCs/>
        </w:rPr>
      </w:pPr>
      <w:r w:rsidRPr="001D52AC">
        <w:rPr>
          <w:rFonts w:ascii="Cambria" w:hAnsi="Cambria"/>
          <w:b/>
          <w:bCs/>
        </w:rPr>
        <w:t>Movilidad Estudiantes salientes Nacional: (Internacionalización)</w:t>
      </w:r>
    </w:p>
    <w:p w14:paraId="0ECD7806" w14:textId="77777777" w:rsidR="0035506C" w:rsidRDefault="0035506C" w:rsidP="00386CF7">
      <w:pPr>
        <w:rPr>
          <w:rFonts w:ascii="Cambria" w:hAnsi="Cambria"/>
          <w:b/>
          <w:bCs/>
          <w:sz w:val="32"/>
          <w:szCs w:val="32"/>
        </w:rPr>
      </w:pPr>
    </w:p>
    <w:p w14:paraId="3A2B6A92" w14:textId="77777777" w:rsidR="00287702" w:rsidRDefault="00287702" w:rsidP="00386CF7">
      <w:pPr>
        <w:rPr>
          <w:rFonts w:ascii="Cambria" w:hAnsi="Cambria"/>
          <w:sz w:val="24"/>
          <w:szCs w:val="24"/>
        </w:rPr>
      </w:pPr>
    </w:p>
    <w:p w14:paraId="6BBDCC8F" w14:textId="77777777" w:rsidR="00287702" w:rsidRDefault="00287702" w:rsidP="00386CF7">
      <w:pPr>
        <w:rPr>
          <w:rFonts w:ascii="Cambria" w:hAnsi="Cambria"/>
          <w:sz w:val="24"/>
          <w:szCs w:val="24"/>
        </w:rPr>
      </w:pPr>
    </w:p>
    <w:p w14:paraId="7A091FD9" w14:textId="77777777" w:rsidR="00287702" w:rsidRDefault="00287702" w:rsidP="00386CF7">
      <w:pPr>
        <w:rPr>
          <w:rFonts w:ascii="Cambria" w:hAnsi="Cambria"/>
          <w:sz w:val="24"/>
          <w:szCs w:val="24"/>
        </w:rPr>
      </w:pPr>
    </w:p>
    <w:p w14:paraId="671A78C7" w14:textId="77777777" w:rsidR="00287702" w:rsidRDefault="00287702" w:rsidP="00386CF7">
      <w:pPr>
        <w:rPr>
          <w:rFonts w:ascii="Cambria" w:hAnsi="Cambria"/>
          <w:sz w:val="24"/>
          <w:szCs w:val="24"/>
        </w:rPr>
      </w:pPr>
    </w:p>
    <w:p w14:paraId="4DBA8A11" w14:textId="7D9858BC" w:rsidR="0035506C" w:rsidRPr="00287702" w:rsidRDefault="006D2C0F" w:rsidP="00386CF7">
      <w:pPr>
        <w:rPr>
          <w:rFonts w:ascii="Cambria" w:hAnsi="Cambria"/>
          <w:sz w:val="24"/>
          <w:szCs w:val="24"/>
        </w:rPr>
      </w:pPr>
      <w:r w:rsidRPr="006D2C0F">
        <w:rPr>
          <w:rFonts w:ascii="Cambria" w:hAnsi="Cambria"/>
          <w:sz w:val="24"/>
          <w:szCs w:val="24"/>
        </w:rPr>
        <w:lastRenderedPageBreak/>
        <w:t>A continuación, veamos la tabla de resultados (indicadores por nivel de desempeño):</w:t>
      </w:r>
    </w:p>
    <w:tbl>
      <w:tblPr>
        <w:tblW w:w="8276" w:type="dxa"/>
        <w:jc w:val="center"/>
        <w:tblCellMar>
          <w:left w:w="70" w:type="dxa"/>
          <w:right w:w="70" w:type="dxa"/>
        </w:tblCellMar>
        <w:tblLook w:val="04A0" w:firstRow="1" w:lastRow="0" w:firstColumn="1" w:lastColumn="0" w:noHBand="0" w:noVBand="1"/>
      </w:tblPr>
      <w:tblGrid>
        <w:gridCol w:w="3049"/>
        <w:gridCol w:w="3445"/>
        <w:gridCol w:w="1782"/>
      </w:tblGrid>
      <w:tr w:rsidR="00DB026A" w:rsidRPr="00DB026A" w14:paraId="1659D81E" w14:textId="77777777" w:rsidTr="00DB026A">
        <w:trPr>
          <w:trHeight w:val="552"/>
          <w:jc w:val="center"/>
        </w:trPr>
        <w:tc>
          <w:tcPr>
            <w:tcW w:w="3049"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B539ABE" w14:textId="77777777" w:rsidR="00DB026A" w:rsidRPr="00DB026A" w:rsidRDefault="00DB026A" w:rsidP="00DB026A">
            <w:pPr>
              <w:spacing w:after="0" w:line="240" w:lineRule="auto"/>
              <w:jc w:val="center"/>
              <w:rPr>
                <w:rFonts w:ascii="Calibri" w:eastAsia="Times New Roman" w:hAnsi="Calibri" w:cs="Calibri"/>
                <w:color w:val="FFFFFF"/>
                <w:kern w:val="0"/>
                <w:lang w:eastAsia="es-CO"/>
                <w14:ligatures w14:val="none"/>
              </w:rPr>
            </w:pPr>
            <w:r w:rsidRPr="00DB026A">
              <w:rPr>
                <w:rFonts w:ascii="Calibri" w:eastAsia="Times New Roman" w:hAnsi="Calibri" w:cs="Calibri"/>
                <w:color w:val="FFFFFF"/>
                <w:kern w:val="0"/>
                <w:lang w:eastAsia="es-CO"/>
                <w14:ligatures w14:val="none"/>
              </w:rPr>
              <w:t>Nivel de desempeño</w:t>
            </w:r>
          </w:p>
        </w:tc>
        <w:tc>
          <w:tcPr>
            <w:tcW w:w="3445" w:type="dxa"/>
            <w:tcBorders>
              <w:top w:val="single" w:sz="4" w:space="0" w:color="auto"/>
              <w:left w:val="nil"/>
              <w:bottom w:val="single" w:sz="4" w:space="0" w:color="auto"/>
              <w:right w:val="single" w:sz="4" w:space="0" w:color="auto"/>
            </w:tcBorders>
            <w:shd w:val="clear" w:color="000000" w:fill="002060"/>
            <w:noWrap/>
            <w:vAlign w:val="center"/>
            <w:hideMark/>
          </w:tcPr>
          <w:p w14:paraId="01644C82" w14:textId="77777777" w:rsidR="00DB026A" w:rsidRPr="00DB026A" w:rsidRDefault="00DB026A" w:rsidP="00DB026A">
            <w:pPr>
              <w:spacing w:after="0" w:line="240" w:lineRule="auto"/>
              <w:jc w:val="center"/>
              <w:rPr>
                <w:rFonts w:ascii="Calibri" w:eastAsia="Times New Roman" w:hAnsi="Calibri" w:cs="Calibri"/>
                <w:color w:val="FFFFFF"/>
                <w:kern w:val="0"/>
                <w:lang w:eastAsia="es-CO"/>
                <w14:ligatures w14:val="none"/>
              </w:rPr>
            </w:pPr>
            <w:r w:rsidRPr="00DB026A">
              <w:rPr>
                <w:rFonts w:ascii="Calibri" w:eastAsia="Times New Roman" w:hAnsi="Calibri" w:cs="Calibri"/>
                <w:color w:val="FFFFFF"/>
                <w:kern w:val="0"/>
                <w:lang w:eastAsia="es-CO"/>
                <w14:ligatures w14:val="none"/>
              </w:rPr>
              <w:t>Número de Indicadores</w:t>
            </w:r>
          </w:p>
        </w:tc>
        <w:tc>
          <w:tcPr>
            <w:tcW w:w="1782" w:type="dxa"/>
            <w:tcBorders>
              <w:top w:val="single" w:sz="4" w:space="0" w:color="auto"/>
              <w:left w:val="nil"/>
              <w:bottom w:val="single" w:sz="4" w:space="0" w:color="auto"/>
              <w:right w:val="single" w:sz="4" w:space="0" w:color="auto"/>
            </w:tcBorders>
            <w:shd w:val="clear" w:color="000000" w:fill="002060"/>
            <w:noWrap/>
            <w:vAlign w:val="center"/>
            <w:hideMark/>
          </w:tcPr>
          <w:p w14:paraId="7FD7D6D6" w14:textId="77777777" w:rsidR="00DB026A" w:rsidRPr="00DB026A" w:rsidRDefault="00DB026A" w:rsidP="00DB026A">
            <w:pPr>
              <w:spacing w:after="0" w:line="240" w:lineRule="auto"/>
              <w:jc w:val="center"/>
              <w:rPr>
                <w:rFonts w:ascii="Calibri" w:eastAsia="Times New Roman" w:hAnsi="Calibri" w:cs="Calibri"/>
                <w:color w:val="FFFFFF"/>
                <w:kern w:val="0"/>
                <w:lang w:eastAsia="es-CO"/>
                <w14:ligatures w14:val="none"/>
              </w:rPr>
            </w:pPr>
            <w:r w:rsidRPr="00DB026A">
              <w:rPr>
                <w:rFonts w:ascii="Calibri" w:eastAsia="Times New Roman" w:hAnsi="Calibri" w:cs="Calibri"/>
                <w:color w:val="FFFFFF"/>
                <w:kern w:val="0"/>
                <w:lang w:eastAsia="es-CO"/>
                <w14:ligatures w14:val="none"/>
              </w:rPr>
              <w:t>Porcentaje</w:t>
            </w:r>
          </w:p>
        </w:tc>
      </w:tr>
      <w:tr w:rsidR="00DB026A" w:rsidRPr="00DB026A" w14:paraId="77F563B6" w14:textId="77777777" w:rsidTr="00DB026A">
        <w:trPr>
          <w:trHeight w:val="552"/>
          <w:jc w:val="center"/>
        </w:trPr>
        <w:tc>
          <w:tcPr>
            <w:tcW w:w="3049" w:type="dxa"/>
            <w:tcBorders>
              <w:top w:val="nil"/>
              <w:left w:val="single" w:sz="4" w:space="0" w:color="auto"/>
              <w:bottom w:val="single" w:sz="4" w:space="0" w:color="auto"/>
              <w:right w:val="single" w:sz="4" w:space="0" w:color="auto"/>
            </w:tcBorders>
            <w:shd w:val="clear" w:color="000000" w:fill="00B050"/>
            <w:noWrap/>
            <w:vAlign w:val="center"/>
            <w:hideMark/>
          </w:tcPr>
          <w:p w14:paraId="0FC4A608" w14:textId="77777777" w:rsidR="00DB026A" w:rsidRPr="00DB026A" w:rsidRDefault="00DB026A" w:rsidP="00DB026A">
            <w:pPr>
              <w:spacing w:after="0" w:line="240" w:lineRule="auto"/>
              <w:jc w:val="center"/>
              <w:rPr>
                <w:rFonts w:ascii="Calibri" w:eastAsia="Times New Roman" w:hAnsi="Calibri" w:cs="Calibri"/>
                <w:b/>
                <w:bCs/>
                <w:color w:val="000000"/>
                <w:kern w:val="0"/>
                <w:lang w:eastAsia="es-CO"/>
                <w14:ligatures w14:val="none"/>
              </w:rPr>
            </w:pPr>
            <w:r w:rsidRPr="00DB026A">
              <w:rPr>
                <w:rFonts w:ascii="Calibri" w:eastAsia="Times New Roman" w:hAnsi="Calibri" w:cs="Calibri"/>
                <w:b/>
                <w:bCs/>
                <w:color w:val="000000"/>
                <w:kern w:val="0"/>
                <w:lang w:eastAsia="es-CO"/>
                <w14:ligatures w14:val="none"/>
              </w:rPr>
              <w:t>Satisfactorio</w:t>
            </w:r>
          </w:p>
        </w:tc>
        <w:tc>
          <w:tcPr>
            <w:tcW w:w="3445" w:type="dxa"/>
            <w:tcBorders>
              <w:top w:val="nil"/>
              <w:left w:val="nil"/>
              <w:bottom w:val="single" w:sz="4" w:space="0" w:color="auto"/>
              <w:right w:val="single" w:sz="4" w:space="0" w:color="auto"/>
            </w:tcBorders>
            <w:shd w:val="clear" w:color="000000" w:fill="00B050"/>
            <w:noWrap/>
            <w:vAlign w:val="center"/>
            <w:hideMark/>
          </w:tcPr>
          <w:p w14:paraId="06223E0D" w14:textId="77777777" w:rsidR="00DB026A" w:rsidRPr="00DB026A" w:rsidRDefault="00DB026A" w:rsidP="00DB026A">
            <w:pPr>
              <w:spacing w:after="0" w:line="240" w:lineRule="auto"/>
              <w:jc w:val="center"/>
              <w:rPr>
                <w:rFonts w:ascii="Calibri" w:eastAsia="Times New Roman" w:hAnsi="Calibri" w:cs="Calibri"/>
                <w:color w:val="000000"/>
                <w:kern w:val="0"/>
                <w:lang w:eastAsia="es-CO"/>
                <w14:ligatures w14:val="none"/>
              </w:rPr>
            </w:pPr>
            <w:r w:rsidRPr="00DB026A">
              <w:rPr>
                <w:rFonts w:ascii="Calibri" w:eastAsia="Times New Roman" w:hAnsi="Calibri" w:cs="Calibri"/>
                <w:color w:val="000000"/>
                <w:kern w:val="0"/>
                <w:lang w:eastAsia="es-CO"/>
                <w14:ligatures w14:val="none"/>
              </w:rPr>
              <w:t>63</w:t>
            </w:r>
          </w:p>
        </w:tc>
        <w:tc>
          <w:tcPr>
            <w:tcW w:w="1782" w:type="dxa"/>
            <w:tcBorders>
              <w:top w:val="nil"/>
              <w:left w:val="nil"/>
              <w:bottom w:val="single" w:sz="4" w:space="0" w:color="auto"/>
              <w:right w:val="single" w:sz="4" w:space="0" w:color="auto"/>
            </w:tcBorders>
            <w:shd w:val="clear" w:color="000000" w:fill="00B050"/>
            <w:noWrap/>
            <w:vAlign w:val="center"/>
            <w:hideMark/>
          </w:tcPr>
          <w:p w14:paraId="6AB33497" w14:textId="77777777" w:rsidR="00DB026A" w:rsidRPr="00DB026A" w:rsidRDefault="00DB026A" w:rsidP="00DB026A">
            <w:pPr>
              <w:spacing w:after="0" w:line="240" w:lineRule="auto"/>
              <w:jc w:val="center"/>
              <w:rPr>
                <w:rFonts w:ascii="Calibri" w:eastAsia="Times New Roman" w:hAnsi="Calibri" w:cs="Calibri"/>
                <w:color w:val="000000"/>
                <w:kern w:val="0"/>
                <w:lang w:eastAsia="es-CO"/>
                <w14:ligatures w14:val="none"/>
              </w:rPr>
            </w:pPr>
            <w:r w:rsidRPr="00DB026A">
              <w:rPr>
                <w:rFonts w:ascii="Calibri" w:eastAsia="Times New Roman" w:hAnsi="Calibri" w:cs="Calibri"/>
                <w:color w:val="000000"/>
                <w:kern w:val="0"/>
                <w:lang w:eastAsia="es-CO"/>
                <w14:ligatures w14:val="none"/>
              </w:rPr>
              <w:t>90%</w:t>
            </w:r>
          </w:p>
        </w:tc>
      </w:tr>
      <w:tr w:rsidR="00DB026A" w:rsidRPr="00DB026A" w14:paraId="525F03A1" w14:textId="77777777" w:rsidTr="00DB026A">
        <w:trPr>
          <w:trHeight w:val="552"/>
          <w:jc w:val="center"/>
        </w:trPr>
        <w:tc>
          <w:tcPr>
            <w:tcW w:w="3049" w:type="dxa"/>
            <w:tcBorders>
              <w:top w:val="nil"/>
              <w:left w:val="single" w:sz="4" w:space="0" w:color="auto"/>
              <w:bottom w:val="single" w:sz="4" w:space="0" w:color="auto"/>
              <w:right w:val="single" w:sz="4" w:space="0" w:color="auto"/>
            </w:tcBorders>
            <w:shd w:val="clear" w:color="000000" w:fill="FF0000"/>
            <w:noWrap/>
            <w:vAlign w:val="center"/>
            <w:hideMark/>
          </w:tcPr>
          <w:p w14:paraId="1BFF3BAC" w14:textId="77777777" w:rsidR="00DB026A" w:rsidRPr="00DB026A" w:rsidRDefault="00DB026A" w:rsidP="00DB026A">
            <w:pPr>
              <w:spacing w:after="0" w:line="240" w:lineRule="auto"/>
              <w:jc w:val="center"/>
              <w:rPr>
                <w:rFonts w:ascii="Calibri" w:eastAsia="Times New Roman" w:hAnsi="Calibri" w:cs="Calibri"/>
                <w:b/>
                <w:bCs/>
                <w:color w:val="000000"/>
                <w:kern w:val="0"/>
                <w:lang w:eastAsia="es-CO"/>
                <w14:ligatures w14:val="none"/>
              </w:rPr>
            </w:pPr>
            <w:r w:rsidRPr="00DB026A">
              <w:rPr>
                <w:rFonts w:ascii="Calibri" w:eastAsia="Times New Roman" w:hAnsi="Calibri" w:cs="Calibri"/>
                <w:b/>
                <w:bCs/>
                <w:color w:val="000000"/>
                <w:kern w:val="0"/>
                <w:lang w:eastAsia="es-CO"/>
                <w14:ligatures w14:val="none"/>
              </w:rPr>
              <w:t>Insuficiente</w:t>
            </w:r>
          </w:p>
        </w:tc>
        <w:tc>
          <w:tcPr>
            <w:tcW w:w="3445" w:type="dxa"/>
            <w:tcBorders>
              <w:top w:val="nil"/>
              <w:left w:val="nil"/>
              <w:bottom w:val="single" w:sz="4" w:space="0" w:color="auto"/>
              <w:right w:val="single" w:sz="4" w:space="0" w:color="auto"/>
            </w:tcBorders>
            <w:shd w:val="clear" w:color="000000" w:fill="FF0000"/>
            <w:noWrap/>
            <w:vAlign w:val="center"/>
            <w:hideMark/>
          </w:tcPr>
          <w:p w14:paraId="29A10762" w14:textId="77777777" w:rsidR="00DB026A" w:rsidRPr="00DB026A" w:rsidRDefault="00DB026A" w:rsidP="00DB026A">
            <w:pPr>
              <w:spacing w:after="0" w:line="240" w:lineRule="auto"/>
              <w:jc w:val="center"/>
              <w:rPr>
                <w:rFonts w:ascii="Calibri" w:eastAsia="Times New Roman" w:hAnsi="Calibri" w:cs="Calibri"/>
                <w:color w:val="000000"/>
                <w:kern w:val="0"/>
                <w:lang w:eastAsia="es-CO"/>
                <w14:ligatures w14:val="none"/>
              </w:rPr>
            </w:pPr>
            <w:r w:rsidRPr="00DB026A">
              <w:rPr>
                <w:rFonts w:ascii="Calibri" w:eastAsia="Times New Roman" w:hAnsi="Calibri" w:cs="Calibri"/>
                <w:color w:val="000000"/>
                <w:kern w:val="0"/>
                <w:lang w:eastAsia="es-CO"/>
                <w14:ligatures w14:val="none"/>
              </w:rPr>
              <w:t>5</w:t>
            </w:r>
          </w:p>
        </w:tc>
        <w:tc>
          <w:tcPr>
            <w:tcW w:w="1782" w:type="dxa"/>
            <w:tcBorders>
              <w:top w:val="nil"/>
              <w:left w:val="nil"/>
              <w:bottom w:val="single" w:sz="4" w:space="0" w:color="auto"/>
              <w:right w:val="single" w:sz="4" w:space="0" w:color="auto"/>
            </w:tcBorders>
            <w:shd w:val="clear" w:color="000000" w:fill="00B050"/>
            <w:noWrap/>
            <w:vAlign w:val="center"/>
            <w:hideMark/>
          </w:tcPr>
          <w:p w14:paraId="21A50289" w14:textId="77777777" w:rsidR="00DB026A" w:rsidRPr="00DB026A" w:rsidRDefault="00DB026A" w:rsidP="00DB026A">
            <w:pPr>
              <w:spacing w:after="0" w:line="240" w:lineRule="auto"/>
              <w:jc w:val="center"/>
              <w:rPr>
                <w:rFonts w:ascii="Calibri" w:eastAsia="Times New Roman" w:hAnsi="Calibri" w:cs="Calibri"/>
                <w:color w:val="000000"/>
                <w:kern w:val="0"/>
                <w:lang w:eastAsia="es-CO"/>
                <w14:ligatures w14:val="none"/>
              </w:rPr>
            </w:pPr>
            <w:r w:rsidRPr="00DB026A">
              <w:rPr>
                <w:rFonts w:ascii="Calibri" w:eastAsia="Times New Roman" w:hAnsi="Calibri" w:cs="Calibri"/>
                <w:color w:val="000000"/>
                <w:kern w:val="0"/>
                <w:lang w:eastAsia="es-CO"/>
                <w14:ligatures w14:val="none"/>
              </w:rPr>
              <w:t>7%</w:t>
            </w:r>
          </w:p>
        </w:tc>
      </w:tr>
      <w:tr w:rsidR="00DB026A" w:rsidRPr="00DB026A" w14:paraId="3C8866FB" w14:textId="77777777" w:rsidTr="00DB026A">
        <w:trPr>
          <w:trHeight w:val="552"/>
          <w:jc w:val="center"/>
        </w:trPr>
        <w:tc>
          <w:tcPr>
            <w:tcW w:w="3049" w:type="dxa"/>
            <w:tcBorders>
              <w:top w:val="nil"/>
              <w:left w:val="single" w:sz="4" w:space="0" w:color="auto"/>
              <w:bottom w:val="single" w:sz="4" w:space="0" w:color="auto"/>
              <w:right w:val="single" w:sz="4" w:space="0" w:color="auto"/>
            </w:tcBorders>
            <w:shd w:val="clear" w:color="000000" w:fill="FFFF00"/>
            <w:noWrap/>
            <w:vAlign w:val="center"/>
            <w:hideMark/>
          </w:tcPr>
          <w:p w14:paraId="221B2ABB" w14:textId="77777777" w:rsidR="00DB026A" w:rsidRPr="00DB026A" w:rsidRDefault="00DB026A" w:rsidP="00DB026A">
            <w:pPr>
              <w:spacing w:after="0" w:line="240" w:lineRule="auto"/>
              <w:jc w:val="center"/>
              <w:rPr>
                <w:rFonts w:ascii="Calibri" w:eastAsia="Times New Roman" w:hAnsi="Calibri" w:cs="Calibri"/>
                <w:b/>
                <w:bCs/>
                <w:color w:val="000000"/>
                <w:kern w:val="0"/>
                <w:lang w:eastAsia="es-CO"/>
                <w14:ligatures w14:val="none"/>
              </w:rPr>
            </w:pPr>
            <w:r w:rsidRPr="00DB026A">
              <w:rPr>
                <w:rFonts w:ascii="Calibri" w:eastAsia="Times New Roman" w:hAnsi="Calibri" w:cs="Calibri"/>
                <w:b/>
                <w:bCs/>
                <w:color w:val="000000"/>
                <w:kern w:val="0"/>
                <w:lang w:eastAsia="es-CO"/>
                <w14:ligatures w14:val="none"/>
              </w:rPr>
              <w:t>No se midió</w:t>
            </w:r>
          </w:p>
        </w:tc>
        <w:tc>
          <w:tcPr>
            <w:tcW w:w="3445" w:type="dxa"/>
            <w:tcBorders>
              <w:top w:val="nil"/>
              <w:left w:val="nil"/>
              <w:bottom w:val="single" w:sz="4" w:space="0" w:color="auto"/>
              <w:right w:val="single" w:sz="4" w:space="0" w:color="auto"/>
            </w:tcBorders>
            <w:shd w:val="clear" w:color="000000" w:fill="FFFF00"/>
            <w:noWrap/>
            <w:vAlign w:val="center"/>
            <w:hideMark/>
          </w:tcPr>
          <w:p w14:paraId="0743095A" w14:textId="77777777" w:rsidR="00DB026A" w:rsidRPr="00DB026A" w:rsidRDefault="00DB026A" w:rsidP="00DB026A">
            <w:pPr>
              <w:spacing w:after="0" w:line="240" w:lineRule="auto"/>
              <w:jc w:val="center"/>
              <w:rPr>
                <w:rFonts w:ascii="Calibri" w:eastAsia="Times New Roman" w:hAnsi="Calibri" w:cs="Calibri"/>
                <w:color w:val="000000"/>
                <w:kern w:val="0"/>
                <w:lang w:eastAsia="es-CO"/>
                <w14:ligatures w14:val="none"/>
              </w:rPr>
            </w:pPr>
            <w:r w:rsidRPr="00DB026A">
              <w:rPr>
                <w:rFonts w:ascii="Calibri" w:eastAsia="Times New Roman" w:hAnsi="Calibri" w:cs="Calibri"/>
                <w:color w:val="000000"/>
                <w:kern w:val="0"/>
                <w:lang w:eastAsia="es-CO"/>
                <w14:ligatures w14:val="none"/>
              </w:rPr>
              <w:t>2</w:t>
            </w:r>
          </w:p>
        </w:tc>
        <w:tc>
          <w:tcPr>
            <w:tcW w:w="1782" w:type="dxa"/>
            <w:tcBorders>
              <w:top w:val="nil"/>
              <w:left w:val="nil"/>
              <w:bottom w:val="single" w:sz="4" w:space="0" w:color="auto"/>
              <w:right w:val="single" w:sz="4" w:space="0" w:color="auto"/>
            </w:tcBorders>
            <w:shd w:val="clear" w:color="000000" w:fill="00B050"/>
            <w:noWrap/>
            <w:vAlign w:val="center"/>
            <w:hideMark/>
          </w:tcPr>
          <w:p w14:paraId="31CA64C3" w14:textId="77777777" w:rsidR="00DB026A" w:rsidRPr="00DB026A" w:rsidRDefault="00DB026A" w:rsidP="00DB026A">
            <w:pPr>
              <w:spacing w:after="0" w:line="240" w:lineRule="auto"/>
              <w:jc w:val="center"/>
              <w:rPr>
                <w:rFonts w:ascii="Calibri" w:eastAsia="Times New Roman" w:hAnsi="Calibri" w:cs="Calibri"/>
                <w:color w:val="000000"/>
                <w:kern w:val="0"/>
                <w:lang w:eastAsia="es-CO"/>
                <w14:ligatures w14:val="none"/>
              </w:rPr>
            </w:pPr>
            <w:r w:rsidRPr="00DB026A">
              <w:rPr>
                <w:rFonts w:ascii="Calibri" w:eastAsia="Times New Roman" w:hAnsi="Calibri" w:cs="Calibri"/>
                <w:color w:val="000000"/>
                <w:kern w:val="0"/>
                <w:lang w:eastAsia="es-CO"/>
                <w14:ligatures w14:val="none"/>
              </w:rPr>
              <w:t>3%</w:t>
            </w:r>
          </w:p>
        </w:tc>
      </w:tr>
      <w:tr w:rsidR="00DB026A" w:rsidRPr="00DB026A" w14:paraId="0443823C" w14:textId="77777777" w:rsidTr="00DB026A">
        <w:trPr>
          <w:trHeight w:val="552"/>
          <w:jc w:val="center"/>
        </w:trPr>
        <w:tc>
          <w:tcPr>
            <w:tcW w:w="3049" w:type="dxa"/>
            <w:tcBorders>
              <w:top w:val="nil"/>
              <w:left w:val="single" w:sz="4" w:space="0" w:color="auto"/>
              <w:bottom w:val="single" w:sz="4" w:space="0" w:color="auto"/>
              <w:right w:val="single" w:sz="4" w:space="0" w:color="auto"/>
            </w:tcBorders>
            <w:shd w:val="clear" w:color="000000" w:fill="002060"/>
            <w:noWrap/>
            <w:vAlign w:val="center"/>
            <w:hideMark/>
          </w:tcPr>
          <w:p w14:paraId="57E3725D" w14:textId="77777777" w:rsidR="00DB026A" w:rsidRPr="00DB026A" w:rsidRDefault="00DB026A" w:rsidP="00DB026A">
            <w:pPr>
              <w:spacing w:after="0" w:line="240" w:lineRule="auto"/>
              <w:jc w:val="center"/>
              <w:rPr>
                <w:rFonts w:ascii="Calibri" w:eastAsia="Times New Roman" w:hAnsi="Calibri" w:cs="Calibri"/>
                <w:color w:val="FFFFFF"/>
                <w:kern w:val="0"/>
                <w:lang w:eastAsia="es-CO"/>
                <w14:ligatures w14:val="none"/>
              </w:rPr>
            </w:pPr>
            <w:r w:rsidRPr="00DB026A">
              <w:rPr>
                <w:rFonts w:ascii="Calibri" w:eastAsia="Times New Roman" w:hAnsi="Calibri" w:cs="Calibri"/>
                <w:color w:val="FFFFFF"/>
                <w:kern w:val="0"/>
                <w:lang w:eastAsia="es-CO"/>
                <w14:ligatures w14:val="none"/>
              </w:rPr>
              <w:t>Total</w:t>
            </w:r>
          </w:p>
        </w:tc>
        <w:tc>
          <w:tcPr>
            <w:tcW w:w="3445" w:type="dxa"/>
            <w:tcBorders>
              <w:top w:val="nil"/>
              <w:left w:val="nil"/>
              <w:bottom w:val="single" w:sz="4" w:space="0" w:color="auto"/>
              <w:right w:val="single" w:sz="4" w:space="0" w:color="auto"/>
            </w:tcBorders>
            <w:shd w:val="clear" w:color="000000" w:fill="002060"/>
            <w:noWrap/>
            <w:vAlign w:val="center"/>
            <w:hideMark/>
          </w:tcPr>
          <w:p w14:paraId="4BA7490E" w14:textId="77777777" w:rsidR="00DB026A" w:rsidRPr="00DB026A" w:rsidRDefault="00DB026A" w:rsidP="00DB026A">
            <w:pPr>
              <w:spacing w:after="0" w:line="240" w:lineRule="auto"/>
              <w:jc w:val="center"/>
              <w:rPr>
                <w:rFonts w:ascii="Calibri" w:eastAsia="Times New Roman" w:hAnsi="Calibri" w:cs="Calibri"/>
                <w:color w:val="FFFFFF"/>
                <w:kern w:val="0"/>
                <w:lang w:eastAsia="es-CO"/>
                <w14:ligatures w14:val="none"/>
              </w:rPr>
            </w:pPr>
            <w:r w:rsidRPr="00DB026A">
              <w:rPr>
                <w:rFonts w:ascii="Calibri" w:eastAsia="Times New Roman" w:hAnsi="Calibri" w:cs="Calibri"/>
                <w:color w:val="FFFFFF"/>
                <w:kern w:val="0"/>
                <w:lang w:eastAsia="es-CO"/>
                <w14:ligatures w14:val="none"/>
              </w:rPr>
              <w:t>70</w:t>
            </w:r>
          </w:p>
        </w:tc>
        <w:tc>
          <w:tcPr>
            <w:tcW w:w="1782" w:type="dxa"/>
            <w:tcBorders>
              <w:top w:val="nil"/>
              <w:left w:val="nil"/>
              <w:bottom w:val="single" w:sz="4" w:space="0" w:color="auto"/>
              <w:right w:val="single" w:sz="4" w:space="0" w:color="auto"/>
            </w:tcBorders>
            <w:shd w:val="clear" w:color="000000" w:fill="002060"/>
            <w:noWrap/>
            <w:vAlign w:val="center"/>
            <w:hideMark/>
          </w:tcPr>
          <w:p w14:paraId="6BAA6DCF" w14:textId="104F8ADF" w:rsidR="00DB026A" w:rsidRPr="00DB026A" w:rsidRDefault="00DB026A" w:rsidP="00DB026A">
            <w:pPr>
              <w:spacing w:after="0" w:line="240" w:lineRule="auto"/>
              <w:jc w:val="center"/>
              <w:rPr>
                <w:rFonts w:ascii="Calibri" w:eastAsia="Times New Roman" w:hAnsi="Calibri" w:cs="Calibri"/>
                <w:color w:val="FFFFFF"/>
                <w:kern w:val="0"/>
                <w:lang w:eastAsia="es-CO"/>
                <w14:ligatures w14:val="none"/>
              </w:rPr>
            </w:pPr>
          </w:p>
        </w:tc>
      </w:tr>
    </w:tbl>
    <w:p w14:paraId="3954991A" w14:textId="77777777" w:rsidR="00D90FB9" w:rsidRDefault="00764FEB" w:rsidP="00D90FB9">
      <w:pPr>
        <w:jc w:val="center"/>
        <w:rPr>
          <w:rFonts w:ascii="Cambria" w:hAnsi="Cambria"/>
          <w:b/>
          <w:bCs/>
          <w:sz w:val="18"/>
          <w:szCs w:val="18"/>
        </w:rPr>
      </w:pPr>
      <w:r w:rsidRPr="00764FEB">
        <w:rPr>
          <w:rFonts w:ascii="Cambria" w:hAnsi="Cambria"/>
          <w:b/>
          <w:bCs/>
          <w:sz w:val="18"/>
          <w:szCs w:val="18"/>
        </w:rPr>
        <w:t>Fuente de información: Software de indicadores del SIGEC (SCII)</w:t>
      </w:r>
    </w:p>
    <w:p w14:paraId="6B1E2F04" w14:textId="1924F195" w:rsidR="00764FEB" w:rsidRPr="00764FEB" w:rsidRDefault="00764FEB" w:rsidP="00D90FB9">
      <w:pPr>
        <w:jc w:val="center"/>
        <w:rPr>
          <w:rFonts w:ascii="Cambria" w:hAnsi="Cambria"/>
          <w:b/>
          <w:bCs/>
          <w:sz w:val="18"/>
          <w:szCs w:val="18"/>
        </w:rPr>
      </w:pPr>
      <w:r w:rsidRPr="00764FEB">
        <w:rPr>
          <w:rFonts w:ascii="Cambria" w:hAnsi="Cambria"/>
          <w:b/>
          <w:bCs/>
          <w:sz w:val="18"/>
          <w:szCs w:val="18"/>
        </w:rPr>
        <w:t>Fecha de Corte: 20/09/2024</w:t>
      </w:r>
    </w:p>
    <w:p w14:paraId="4472053C" w14:textId="41DEF609" w:rsidR="0035506C" w:rsidRPr="00A27593" w:rsidRDefault="00764FEB" w:rsidP="0035506C">
      <w:pPr>
        <w:ind w:right="204"/>
        <w:rPr>
          <w:bCs/>
          <w:sz w:val="24"/>
          <w:szCs w:val="24"/>
        </w:rPr>
      </w:pPr>
      <w:r>
        <w:rPr>
          <w:bCs/>
          <w:sz w:val="24"/>
          <w:szCs w:val="24"/>
        </w:rPr>
        <w:t>Veamos el siguiente grafico de sectores:</w:t>
      </w:r>
    </w:p>
    <w:p w14:paraId="653FB1C6" w14:textId="77777777" w:rsidR="0035506C" w:rsidRDefault="0035506C" w:rsidP="0035506C">
      <w:pPr>
        <w:ind w:right="204"/>
        <w:jc w:val="center"/>
        <w:rPr>
          <w:b/>
          <w:color w:val="006600"/>
          <w:sz w:val="28"/>
        </w:rPr>
      </w:pPr>
      <w:r>
        <w:rPr>
          <w:noProof/>
        </w:rPr>
        <w:drawing>
          <wp:inline distT="0" distB="0" distL="0" distR="0" wp14:anchorId="3CAD33CA" wp14:editId="78C63D5F">
            <wp:extent cx="4564316" cy="2973070"/>
            <wp:effectExtent l="0" t="0" r="8255" b="17780"/>
            <wp:docPr id="2129799047" name="Gráfico 1">
              <a:extLst xmlns:a="http://schemas.openxmlformats.org/drawingml/2006/main">
                <a:ext uri="{FF2B5EF4-FFF2-40B4-BE49-F238E27FC236}">
                  <a16:creationId xmlns:a16="http://schemas.microsoft.com/office/drawing/2014/main" id="{62DFBF4B-844C-23CB-9286-F3815AAB29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
              </a:graphicData>
            </a:graphic>
          </wp:inline>
        </w:drawing>
      </w:r>
    </w:p>
    <w:p w14:paraId="567F22C2" w14:textId="77777777" w:rsidR="00DB026A" w:rsidRPr="00764FEB" w:rsidRDefault="00DB026A" w:rsidP="00DB026A">
      <w:pPr>
        <w:jc w:val="center"/>
        <w:rPr>
          <w:rFonts w:ascii="Cambria" w:hAnsi="Cambria"/>
          <w:b/>
          <w:bCs/>
          <w:sz w:val="18"/>
          <w:szCs w:val="18"/>
        </w:rPr>
      </w:pPr>
      <w:r w:rsidRPr="00764FEB">
        <w:rPr>
          <w:rFonts w:ascii="Cambria" w:hAnsi="Cambria"/>
          <w:b/>
          <w:bCs/>
          <w:sz w:val="18"/>
          <w:szCs w:val="18"/>
        </w:rPr>
        <w:t>Fuente de información: Software de indicadores del SIGEC (SCII)</w:t>
      </w:r>
    </w:p>
    <w:p w14:paraId="53530E6E" w14:textId="682D6D5B" w:rsidR="00DB026A" w:rsidRPr="00DC1B96" w:rsidRDefault="00DB026A" w:rsidP="00DC1B96">
      <w:pPr>
        <w:jc w:val="center"/>
        <w:rPr>
          <w:rFonts w:ascii="Cambria" w:hAnsi="Cambria"/>
          <w:b/>
          <w:bCs/>
          <w:sz w:val="18"/>
          <w:szCs w:val="18"/>
        </w:rPr>
      </w:pPr>
      <w:r w:rsidRPr="00764FEB">
        <w:rPr>
          <w:rFonts w:ascii="Cambria" w:hAnsi="Cambria"/>
          <w:b/>
          <w:bCs/>
          <w:sz w:val="18"/>
          <w:szCs w:val="18"/>
        </w:rPr>
        <w:t>Fecha de Corte: 20/09/2024</w:t>
      </w:r>
    </w:p>
    <w:p w14:paraId="0208661A" w14:textId="77777777" w:rsidR="00DB026A" w:rsidRDefault="00DB026A" w:rsidP="00DB026A">
      <w:pPr>
        <w:jc w:val="both"/>
        <w:rPr>
          <w:sz w:val="20"/>
          <w:szCs w:val="20"/>
        </w:rPr>
      </w:pPr>
    </w:p>
    <w:p w14:paraId="51B0E593" w14:textId="77777777" w:rsidR="00287702" w:rsidRDefault="00287702" w:rsidP="00DB026A">
      <w:pPr>
        <w:jc w:val="both"/>
        <w:rPr>
          <w:rFonts w:ascii="Cambria" w:hAnsi="Cambria"/>
          <w:b/>
          <w:bCs/>
          <w:sz w:val="24"/>
          <w:szCs w:val="24"/>
        </w:rPr>
      </w:pPr>
    </w:p>
    <w:p w14:paraId="4959EF8F" w14:textId="77777777" w:rsidR="00905874" w:rsidRDefault="00905874" w:rsidP="00DB026A">
      <w:pPr>
        <w:jc w:val="both"/>
        <w:rPr>
          <w:rFonts w:ascii="Cambria" w:hAnsi="Cambria"/>
          <w:b/>
          <w:bCs/>
          <w:sz w:val="24"/>
          <w:szCs w:val="24"/>
        </w:rPr>
      </w:pPr>
    </w:p>
    <w:p w14:paraId="257D46C8" w14:textId="58911A75" w:rsidR="00DB026A" w:rsidRPr="00DC1B96" w:rsidRDefault="00DB026A" w:rsidP="00DB026A">
      <w:pPr>
        <w:jc w:val="both"/>
        <w:rPr>
          <w:rFonts w:ascii="Cambria" w:hAnsi="Cambria"/>
          <w:b/>
          <w:bCs/>
          <w:sz w:val="24"/>
          <w:szCs w:val="24"/>
        </w:rPr>
      </w:pPr>
      <w:r w:rsidRPr="00DC1B96">
        <w:rPr>
          <w:rFonts w:ascii="Cambria" w:hAnsi="Cambria"/>
          <w:b/>
          <w:bCs/>
          <w:sz w:val="24"/>
          <w:szCs w:val="24"/>
        </w:rPr>
        <w:lastRenderedPageBreak/>
        <w:t>Análisis de Resultados Generales:</w:t>
      </w:r>
    </w:p>
    <w:p w14:paraId="5211400C" w14:textId="77777777" w:rsidR="00DB026A" w:rsidRPr="00DC1B96" w:rsidRDefault="00DB026A" w:rsidP="00DB026A">
      <w:pPr>
        <w:jc w:val="both"/>
        <w:rPr>
          <w:rFonts w:ascii="Cambria" w:hAnsi="Cambria"/>
          <w:b/>
          <w:bCs/>
          <w:sz w:val="24"/>
          <w:szCs w:val="24"/>
        </w:rPr>
      </w:pPr>
      <w:r w:rsidRPr="00DC1B96">
        <w:rPr>
          <w:rFonts w:ascii="Cambria" w:hAnsi="Cambria"/>
          <w:b/>
          <w:bCs/>
          <w:sz w:val="24"/>
          <w:szCs w:val="24"/>
        </w:rPr>
        <w:t>Indicadores Satisfactorios</w:t>
      </w:r>
    </w:p>
    <w:p w14:paraId="7AD2DA95" w14:textId="77777777" w:rsidR="00DB026A" w:rsidRPr="00DC1B96" w:rsidRDefault="00DB026A" w:rsidP="00DB026A">
      <w:pPr>
        <w:jc w:val="both"/>
        <w:rPr>
          <w:rFonts w:ascii="Cambria" w:hAnsi="Cambria"/>
          <w:sz w:val="24"/>
          <w:szCs w:val="24"/>
        </w:rPr>
      </w:pPr>
      <w:r w:rsidRPr="00DC1B96">
        <w:rPr>
          <w:rFonts w:ascii="Cambria" w:hAnsi="Cambria"/>
          <w:sz w:val="24"/>
          <w:szCs w:val="24"/>
        </w:rPr>
        <w:t>Un 90% de los indicadores (63 de 70) alcanzó un nivel de desempeño satisfactorio, lo cual indica un fuerte alineamiento entre las metas institucionales y los resultados obtenidos. Este alto porcentaje refleja un buen funcionamiento de los procesos académicos, administrativos y de apoyo. Es evidente que los planes de acción y las estrategias implementadas por la Universidad de Córdoba están bien direccionadas hacia el logro de los objetivos.</w:t>
      </w:r>
    </w:p>
    <w:p w14:paraId="06187840" w14:textId="77777777" w:rsidR="00DB026A" w:rsidRPr="00DC1B96" w:rsidRDefault="00DB026A" w:rsidP="00DB026A">
      <w:pPr>
        <w:jc w:val="both"/>
        <w:rPr>
          <w:rFonts w:ascii="Cambria" w:hAnsi="Cambria"/>
          <w:b/>
          <w:bCs/>
          <w:sz w:val="24"/>
          <w:szCs w:val="24"/>
        </w:rPr>
      </w:pPr>
      <w:r w:rsidRPr="00DC1B96">
        <w:rPr>
          <w:rFonts w:ascii="Cambria" w:hAnsi="Cambria"/>
          <w:b/>
          <w:bCs/>
          <w:sz w:val="24"/>
          <w:szCs w:val="24"/>
        </w:rPr>
        <w:t>Indicadores insuficientes</w:t>
      </w:r>
    </w:p>
    <w:p w14:paraId="73C9D4F0" w14:textId="77777777" w:rsidR="00DB026A" w:rsidRPr="00DC1B96" w:rsidRDefault="00DB026A" w:rsidP="00DB026A">
      <w:pPr>
        <w:jc w:val="both"/>
        <w:rPr>
          <w:rFonts w:ascii="Cambria" w:hAnsi="Cambria"/>
          <w:sz w:val="24"/>
          <w:szCs w:val="24"/>
        </w:rPr>
      </w:pPr>
      <w:r w:rsidRPr="00DC1B96">
        <w:rPr>
          <w:rFonts w:ascii="Cambria" w:hAnsi="Cambria"/>
          <w:sz w:val="24"/>
          <w:szCs w:val="24"/>
        </w:rPr>
        <w:t>El 7% de los indicadores (5 en total) no alcanzaron los resultados esperados, lo cual revela la necesidad de implementar planes de mejoramiento. Algunos ejemplos mencionados son el uso de bases de datos por parte de docentes y estudiantes, la capacitación en el uso de la biblioteca y la movilidad estudiantil nacional. Estos son procesos estratégicos para la formación y el desarrollo académico, lo que indica que su bajo desempeño puede tener un impacto negativo en la calidad educativa.</w:t>
      </w:r>
    </w:p>
    <w:p w14:paraId="20FAE30A" w14:textId="77777777" w:rsidR="00DB026A" w:rsidRPr="00DC1B96" w:rsidRDefault="00DB026A" w:rsidP="00DB026A">
      <w:pPr>
        <w:jc w:val="both"/>
        <w:rPr>
          <w:rFonts w:ascii="Cambria" w:hAnsi="Cambria"/>
          <w:b/>
          <w:bCs/>
          <w:sz w:val="24"/>
          <w:szCs w:val="24"/>
        </w:rPr>
      </w:pPr>
      <w:r w:rsidRPr="00DC1B96">
        <w:rPr>
          <w:rFonts w:ascii="Cambria" w:hAnsi="Cambria"/>
          <w:b/>
          <w:bCs/>
          <w:sz w:val="24"/>
          <w:szCs w:val="24"/>
        </w:rPr>
        <w:t>Indicadores no medidos</w:t>
      </w:r>
    </w:p>
    <w:p w14:paraId="6A61E8D0" w14:textId="69C0157B" w:rsidR="006D2C0F" w:rsidRPr="00DC1B96" w:rsidRDefault="00DB026A" w:rsidP="00DB026A">
      <w:pPr>
        <w:jc w:val="both"/>
        <w:rPr>
          <w:rFonts w:ascii="Cambria" w:hAnsi="Cambria"/>
          <w:sz w:val="24"/>
          <w:szCs w:val="24"/>
        </w:rPr>
      </w:pPr>
      <w:r w:rsidRPr="00DC1B96">
        <w:rPr>
          <w:rFonts w:ascii="Cambria" w:hAnsi="Cambria"/>
          <w:sz w:val="24"/>
          <w:szCs w:val="24"/>
        </w:rPr>
        <w:t>Dos indicadores no fueron medidos. Los indicadores relacionados con la vinculación de estudiantes y docentes en actividades de investigación son críticos para el crecimiento académico y deben ser considerados prioritarios en el próximo ciclo de evaluación.</w:t>
      </w:r>
    </w:p>
    <w:p w14:paraId="2AEC2528" w14:textId="57FF2F4F" w:rsidR="00EE6FFE" w:rsidRPr="00DC1B96" w:rsidRDefault="00EE6FFE" w:rsidP="00DB026A">
      <w:pPr>
        <w:pStyle w:val="Textoindependiente"/>
      </w:pPr>
      <w:r w:rsidRPr="00DC1B96">
        <w:t>El</w:t>
      </w:r>
      <w:r w:rsidRPr="00DC1B96">
        <w:rPr>
          <w:spacing w:val="-3"/>
        </w:rPr>
        <w:t xml:space="preserve"> </w:t>
      </w:r>
      <w:r w:rsidRPr="00DC1B96">
        <w:t>siguiente</w:t>
      </w:r>
      <w:r w:rsidRPr="00DC1B96">
        <w:rPr>
          <w:spacing w:val="-2"/>
        </w:rPr>
        <w:t xml:space="preserve"> </w:t>
      </w:r>
      <w:r w:rsidRPr="00DC1B96">
        <w:t>recuadro</w:t>
      </w:r>
      <w:r w:rsidRPr="00DC1B96">
        <w:rPr>
          <w:spacing w:val="-1"/>
        </w:rPr>
        <w:t xml:space="preserve"> </w:t>
      </w:r>
      <w:r w:rsidRPr="00DC1B96">
        <w:t>presenta</w:t>
      </w:r>
      <w:r w:rsidRPr="00DC1B96">
        <w:rPr>
          <w:spacing w:val="-3"/>
        </w:rPr>
        <w:t xml:space="preserve"> </w:t>
      </w:r>
      <w:r w:rsidRPr="00DC1B96">
        <w:t>los</w:t>
      </w:r>
      <w:r w:rsidRPr="00DC1B96">
        <w:rPr>
          <w:spacing w:val="-2"/>
        </w:rPr>
        <w:t xml:space="preserve"> </w:t>
      </w:r>
      <w:r w:rsidRPr="00DC1B96">
        <w:t>resultados</w:t>
      </w:r>
      <w:r w:rsidRPr="00DC1B96">
        <w:rPr>
          <w:spacing w:val="-2"/>
        </w:rPr>
        <w:t xml:space="preserve"> </w:t>
      </w:r>
      <w:r w:rsidRPr="00DC1B96">
        <w:t>generales</w:t>
      </w:r>
      <w:r w:rsidRPr="00DC1B96">
        <w:rPr>
          <w:spacing w:val="-2"/>
        </w:rPr>
        <w:t xml:space="preserve"> </w:t>
      </w:r>
      <w:r w:rsidRPr="00DC1B96">
        <w:t>por</w:t>
      </w:r>
      <w:r w:rsidRPr="00DC1B96">
        <w:rPr>
          <w:spacing w:val="-3"/>
        </w:rPr>
        <w:t xml:space="preserve"> </w:t>
      </w:r>
      <w:r w:rsidRPr="00DC1B96">
        <w:t>procesos:</w:t>
      </w:r>
    </w:p>
    <w:p w14:paraId="2E75D235" w14:textId="77777777" w:rsidR="00DB026A" w:rsidRPr="00DC1B96" w:rsidRDefault="00DB026A" w:rsidP="00DB026A">
      <w:pPr>
        <w:pStyle w:val="Textoindependiente"/>
      </w:pPr>
    </w:p>
    <w:tbl>
      <w:tblPr>
        <w:tblW w:w="7926" w:type="dxa"/>
        <w:jc w:val="center"/>
        <w:tblCellMar>
          <w:left w:w="70" w:type="dxa"/>
          <w:right w:w="70" w:type="dxa"/>
        </w:tblCellMar>
        <w:tblLook w:val="04A0" w:firstRow="1" w:lastRow="0" w:firstColumn="1" w:lastColumn="0" w:noHBand="0" w:noVBand="1"/>
      </w:tblPr>
      <w:tblGrid>
        <w:gridCol w:w="2857"/>
        <w:gridCol w:w="1425"/>
        <w:gridCol w:w="1349"/>
        <w:gridCol w:w="2408"/>
      </w:tblGrid>
      <w:tr w:rsidR="00EE6FFE" w:rsidRPr="00EE6FFE" w14:paraId="6AE873A9" w14:textId="77777777" w:rsidTr="00EE6FFE">
        <w:trPr>
          <w:trHeight w:val="299"/>
          <w:jc w:val="center"/>
        </w:trPr>
        <w:tc>
          <w:tcPr>
            <w:tcW w:w="2857" w:type="dxa"/>
            <w:vMerge w:val="restart"/>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268882E2"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Proceso</w:t>
            </w:r>
          </w:p>
        </w:tc>
        <w:tc>
          <w:tcPr>
            <w:tcW w:w="2661" w:type="dxa"/>
            <w:gridSpan w:val="2"/>
            <w:tcBorders>
              <w:top w:val="single" w:sz="4" w:space="0" w:color="auto"/>
              <w:left w:val="nil"/>
              <w:bottom w:val="single" w:sz="4" w:space="0" w:color="auto"/>
              <w:right w:val="single" w:sz="4" w:space="0" w:color="auto"/>
            </w:tcBorders>
            <w:shd w:val="clear" w:color="000000" w:fill="002060"/>
            <w:noWrap/>
            <w:vAlign w:val="center"/>
            <w:hideMark/>
          </w:tcPr>
          <w:p w14:paraId="5E11DAF0"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NIVEL DE DESEMPEÑO</w:t>
            </w:r>
          </w:p>
        </w:tc>
        <w:tc>
          <w:tcPr>
            <w:tcW w:w="2408"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6E0903EC"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Cantidad de indicadores</w:t>
            </w:r>
          </w:p>
        </w:tc>
      </w:tr>
      <w:tr w:rsidR="00EE6FFE" w:rsidRPr="00EE6FFE" w14:paraId="279A7A14" w14:textId="77777777" w:rsidTr="00EE6FFE">
        <w:trPr>
          <w:trHeight w:val="299"/>
          <w:jc w:val="center"/>
        </w:trPr>
        <w:tc>
          <w:tcPr>
            <w:tcW w:w="2857" w:type="dxa"/>
            <w:vMerge/>
            <w:tcBorders>
              <w:top w:val="single" w:sz="4" w:space="0" w:color="auto"/>
              <w:left w:val="single" w:sz="4" w:space="0" w:color="auto"/>
              <w:bottom w:val="single" w:sz="4" w:space="0" w:color="auto"/>
              <w:right w:val="single" w:sz="4" w:space="0" w:color="auto"/>
            </w:tcBorders>
            <w:vAlign w:val="center"/>
            <w:hideMark/>
          </w:tcPr>
          <w:p w14:paraId="72AA0F34" w14:textId="77777777" w:rsidR="00EE6FFE" w:rsidRPr="00EE6FFE" w:rsidRDefault="00EE6FFE" w:rsidP="00EE6FFE">
            <w:pPr>
              <w:spacing w:after="0" w:line="240" w:lineRule="auto"/>
              <w:rPr>
                <w:rFonts w:ascii="Cambria" w:eastAsia="Times New Roman" w:hAnsi="Cambria" w:cs="Calibri"/>
                <w:color w:val="FFFFFF"/>
                <w:kern w:val="0"/>
                <w:sz w:val="24"/>
                <w:szCs w:val="24"/>
                <w:lang w:eastAsia="es-CO"/>
                <w14:ligatures w14:val="none"/>
              </w:rPr>
            </w:pPr>
          </w:p>
        </w:tc>
        <w:tc>
          <w:tcPr>
            <w:tcW w:w="1365" w:type="dxa"/>
            <w:tcBorders>
              <w:top w:val="nil"/>
              <w:left w:val="nil"/>
              <w:bottom w:val="single" w:sz="4" w:space="0" w:color="auto"/>
              <w:right w:val="single" w:sz="4" w:space="0" w:color="auto"/>
            </w:tcBorders>
            <w:shd w:val="clear" w:color="000000" w:fill="002060"/>
            <w:noWrap/>
            <w:vAlign w:val="center"/>
            <w:hideMark/>
          </w:tcPr>
          <w:p w14:paraId="011644FE" w14:textId="77777777" w:rsidR="00EE6FFE" w:rsidRPr="00EE6FFE" w:rsidRDefault="00EE6FFE" w:rsidP="00EE6FFE">
            <w:pPr>
              <w:spacing w:after="0" w:line="240" w:lineRule="auto"/>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Satisfactorio</w:t>
            </w:r>
          </w:p>
        </w:tc>
        <w:tc>
          <w:tcPr>
            <w:tcW w:w="1292" w:type="dxa"/>
            <w:tcBorders>
              <w:top w:val="nil"/>
              <w:left w:val="nil"/>
              <w:bottom w:val="single" w:sz="4" w:space="0" w:color="auto"/>
              <w:right w:val="single" w:sz="4" w:space="0" w:color="auto"/>
            </w:tcBorders>
            <w:shd w:val="clear" w:color="000000" w:fill="002060"/>
            <w:noWrap/>
            <w:vAlign w:val="center"/>
            <w:hideMark/>
          </w:tcPr>
          <w:p w14:paraId="4E616491" w14:textId="77777777" w:rsidR="00EE6FFE" w:rsidRPr="00EE6FFE" w:rsidRDefault="00EE6FFE" w:rsidP="00EE6FFE">
            <w:pPr>
              <w:spacing w:after="0" w:line="240" w:lineRule="auto"/>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Insuficiente</w:t>
            </w:r>
          </w:p>
        </w:tc>
        <w:tc>
          <w:tcPr>
            <w:tcW w:w="2408" w:type="dxa"/>
            <w:tcBorders>
              <w:top w:val="single" w:sz="4" w:space="0" w:color="auto"/>
              <w:left w:val="single" w:sz="4" w:space="0" w:color="auto"/>
              <w:bottom w:val="single" w:sz="4" w:space="0" w:color="auto"/>
              <w:right w:val="single" w:sz="4" w:space="0" w:color="auto"/>
            </w:tcBorders>
            <w:vAlign w:val="center"/>
            <w:hideMark/>
          </w:tcPr>
          <w:p w14:paraId="095BF389" w14:textId="77777777" w:rsidR="00EE6FFE" w:rsidRPr="00EE6FFE" w:rsidRDefault="00EE6FFE" w:rsidP="00EE6FFE">
            <w:pPr>
              <w:spacing w:after="0" w:line="240" w:lineRule="auto"/>
              <w:rPr>
                <w:rFonts w:ascii="Cambria" w:eastAsia="Times New Roman" w:hAnsi="Cambria" w:cs="Calibri"/>
                <w:color w:val="FFFFFF"/>
                <w:kern w:val="0"/>
                <w:sz w:val="24"/>
                <w:szCs w:val="24"/>
                <w:lang w:eastAsia="es-CO"/>
                <w14:ligatures w14:val="none"/>
              </w:rPr>
            </w:pPr>
          </w:p>
        </w:tc>
      </w:tr>
      <w:tr w:rsidR="00EE6FFE" w:rsidRPr="00EE6FFE" w14:paraId="31573066"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6C4A2AA7"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Adquisición y Contratación</w:t>
            </w:r>
          </w:p>
        </w:tc>
        <w:tc>
          <w:tcPr>
            <w:tcW w:w="1365" w:type="dxa"/>
            <w:tcBorders>
              <w:top w:val="nil"/>
              <w:left w:val="nil"/>
              <w:bottom w:val="single" w:sz="4" w:space="0" w:color="auto"/>
              <w:right w:val="single" w:sz="4" w:space="0" w:color="auto"/>
            </w:tcBorders>
            <w:shd w:val="clear" w:color="000000" w:fill="00B050"/>
            <w:noWrap/>
            <w:vAlign w:val="center"/>
            <w:hideMark/>
          </w:tcPr>
          <w:p w14:paraId="74533D41"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c>
          <w:tcPr>
            <w:tcW w:w="1292" w:type="dxa"/>
            <w:tcBorders>
              <w:top w:val="nil"/>
              <w:left w:val="nil"/>
              <w:bottom w:val="single" w:sz="4" w:space="0" w:color="auto"/>
              <w:right w:val="single" w:sz="4" w:space="0" w:color="auto"/>
            </w:tcBorders>
            <w:shd w:val="clear" w:color="000000" w:fill="FF0000"/>
            <w:noWrap/>
            <w:vAlign w:val="center"/>
            <w:hideMark/>
          </w:tcPr>
          <w:p w14:paraId="3861D8BB"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1CC449FD"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r>
      <w:tr w:rsidR="00EE6FFE" w:rsidRPr="00EE6FFE" w14:paraId="6D445E29"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78E88973"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Comunicación</w:t>
            </w:r>
          </w:p>
        </w:tc>
        <w:tc>
          <w:tcPr>
            <w:tcW w:w="1365" w:type="dxa"/>
            <w:tcBorders>
              <w:top w:val="nil"/>
              <w:left w:val="nil"/>
              <w:bottom w:val="single" w:sz="4" w:space="0" w:color="auto"/>
              <w:right w:val="single" w:sz="4" w:space="0" w:color="auto"/>
            </w:tcBorders>
            <w:shd w:val="clear" w:color="000000" w:fill="00B050"/>
            <w:noWrap/>
            <w:vAlign w:val="center"/>
            <w:hideMark/>
          </w:tcPr>
          <w:p w14:paraId="0BEDFD29"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3</w:t>
            </w:r>
          </w:p>
        </w:tc>
        <w:tc>
          <w:tcPr>
            <w:tcW w:w="1292" w:type="dxa"/>
            <w:tcBorders>
              <w:top w:val="nil"/>
              <w:left w:val="nil"/>
              <w:bottom w:val="single" w:sz="4" w:space="0" w:color="auto"/>
              <w:right w:val="single" w:sz="4" w:space="0" w:color="auto"/>
            </w:tcBorders>
            <w:shd w:val="clear" w:color="000000" w:fill="FF0000"/>
            <w:noWrap/>
            <w:vAlign w:val="center"/>
            <w:hideMark/>
          </w:tcPr>
          <w:p w14:paraId="4415D573"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14AA8887"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3</w:t>
            </w:r>
          </w:p>
        </w:tc>
      </w:tr>
      <w:tr w:rsidR="00EE6FFE" w:rsidRPr="00EE6FFE" w14:paraId="0F94CC7C"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72DD30CB"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 xml:space="preserve">Extensión </w:t>
            </w:r>
          </w:p>
        </w:tc>
        <w:tc>
          <w:tcPr>
            <w:tcW w:w="1365" w:type="dxa"/>
            <w:tcBorders>
              <w:top w:val="nil"/>
              <w:left w:val="nil"/>
              <w:bottom w:val="single" w:sz="4" w:space="0" w:color="auto"/>
              <w:right w:val="single" w:sz="4" w:space="0" w:color="auto"/>
            </w:tcBorders>
            <w:shd w:val="clear" w:color="000000" w:fill="00B050"/>
            <w:noWrap/>
            <w:vAlign w:val="center"/>
            <w:hideMark/>
          </w:tcPr>
          <w:p w14:paraId="2AA5DD26"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4</w:t>
            </w:r>
          </w:p>
        </w:tc>
        <w:tc>
          <w:tcPr>
            <w:tcW w:w="1292" w:type="dxa"/>
            <w:tcBorders>
              <w:top w:val="nil"/>
              <w:left w:val="nil"/>
              <w:bottom w:val="single" w:sz="4" w:space="0" w:color="auto"/>
              <w:right w:val="single" w:sz="4" w:space="0" w:color="auto"/>
            </w:tcBorders>
            <w:shd w:val="clear" w:color="000000" w:fill="FF0000"/>
            <w:noWrap/>
            <w:vAlign w:val="center"/>
            <w:hideMark/>
          </w:tcPr>
          <w:p w14:paraId="3821C8F5"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032723CB"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4</w:t>
            </w:r>
          </w:p>
        </w:tc>
      </w:tr>
      <w:tr w:rsidR="00EE6FFE" w:rsidRPr="00EE6FFE" w14:paraId="5BCC582F"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5A756B31"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de Bibliotecas</w:t>
            </w:r>
          </w:p>
        </w:tc>
        <w:tc>
          <w:tcPr>
            <w:tcW w:w="1365" w:type="dxa"/>
            <w:tcBorders>
              <w:top w:val="nil"/>
              <w:left w:val="nil"/>
              <w:bottom w:val="single" w:sz="4" w:space="0" w:color="auto"/>
              <w:right w:val="single" w:sz="4" w:space="0" w:color="auto"/>
            </w:tcBorders>
            <w:shd w:val="clear" w:color="000000" w:fill="00B050"/>
            <w:noWrap/>
            <w:vAlign w:val="center"/>
            <w:hideMark/>
          </w:tcPr>
          <w:p w14:paraId="659E25D8"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1292" w:type="dxa"/>
            <w:tcBorders>
              <w:top w:val="nil"/>
              <w:left w:val="nil"/>
              <w:bottom w:val="single" w:sz="4" w:space="0" w:color="auto"/>
              <w:right w:val="single" w:sz="4" w:space="0" w:color="auto"/>
            </w:tcBorders>
            <w:shd w:val="clear" w:color="000000" w:fill="FF0000"/>
            <w:noWrap/>
            <w:vAlign w:val="center"/>
            <w:hideMark/>
          </w:tcPr>
          <w:p w14:paraId="7F1EB0A6"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1</w:t>
            </w:r>
          </w:p>
        </w:tc>
        <w:tc>
          <w:tcPr>
            <w:tcW w:w="2408" w:type="dxa"/>
            <w:tcBorders>
              <w:top w:val="nil"/>
              <w:left w:val="nil"/>
              <w:bottom w:val="single" w:sz="4" w:space="0" w:color="auto"/>
              <w:right w:val="single" w:sz="4" w:space="0" w:color="auto"/>
            </w:tcBorders>
            <w:shd w:val="clear" w:color="auto" w:fill="auto"/>
            <w:noWrap/>
            <w:vAlign w:val="center"/>
            <w:hideMark/>
          </w:tcPr>
          <w:p w14:paraId="576BC0B2"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w:t>
            </w:r>
          </w:p>
        </w:tc>
      </w:tr>
      <w:tr w:rsidR="00EE6FFE" w:rsidRPr="00EE6FFE" w14:paraId="4833AFF7"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495FF604"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del Desarrollo Tecnológico</w:t>
            </w:r>
          </w:p>
        </w:tc>
        <w:tc>
          <w:tcPr>
            <w:tcW w:w="1365" w:type="dxa"/>
            <w:tcBorders>
              <w:top w:val="nil"/>
              <w:left w:val="nil"/>
              <w:bottom w:val="single" w:sz="4" w:space="0" w:color="auto"/>
              <w:right w:val="single" w:sz="4" w:space="0" w:color="auto"/>
            </w:tcBorders>
            <w:shd w:val="clear" w:color="000000" w:fill="00B050"/>
            <w:noWrap/>
            <w:vAlign w:val="center"/>
            <w:hideMark/>
          </w:tcPr>
          <w:p w14:paraId="016DC35C"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8</w:t>
            </w:r>
          </w:p>
        </w:tc>
        <w:tc>
          <w:tcPr>
            <w:tcW w:w="1292" w:type="dxa"/>
            <w:tcBorders>
              <w:top w:val="nil"/>
              <w:left w:val="nil"/>
              <w:bottom w:val="single" w:sz="4" w:space="0" w:color="auto"/>
              <w:right w:val="single" w:sz="4" w:space="0" w:color="auto"/>
            </w:tcBorders>
            <w:shd w:val="clear" w:color="000000" w:fill="FF0000"/>
            <w:noWrap/>
            <w:vAlign w:val="center"/>
            <w:hideMark/>
          </w:tcPr>
          <w:p w14:paraId="6AEC53F8"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075E501A"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8</w:t>
            </w:r>
          </w:p>
        </w:tc>
      </w:tr>
      <w:tr w:rsidR="00EE6FFE" w:rsidRPr="00EE6FFE" w14:paraId="7AA3B0FD"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01F26B41"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Documental</w:t>
            </w:r>
          </w:p>
        </w:tc>
        <w:tc>
          <w:tcPr>
            <w:tcW w:w="1365" w:type="dxa"/>
            <w:tcBorders>
              <w:top w:val="nil"/>
              <w:left w:val="nil"/>
              <w:bottom w:val="single" w:sz="4" w:space="0" w:color="auto"/>
              <w:right w:val="single" w:sz="4" w:space="0" w:color="auto"/>
            </w:tcBorders>
            <w:shd w:val="clear" w:color="000000" w:fill="00B050"/>
            <w:noWrap/>
            <w:vAlign w:val="center"/>
            <w:hideMark/>
          </w:tcPr>
          <w:p w14:paraId="4C094BE5"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c>
          <w:tcPr>
            <w:tcW w:w="1292" w:type="dxa"/>
            <w:tcBorders>
              <w:top w:val="nil"/>
              <w:left w:val="nil"/>
              <w:bottom w:val="single" w:sz="4" w:space="0" w:color="auto"/>
              <w:right w:val="single" w:sz="4" w:space="0" w:color="auto"/>
            </w:tcBorders>
            <w:shd w:val="clear" w:color="000000" w:fill="FF0000"/>
            <w:noWrap/>
            <w:vAlign w:val="center"/>
            <w:hideMark/>
          </w:tcPr>
          <w:p w14:paraId="1BB15B46"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7E07570E"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r>
      <w:tr w:rsidR="00EE6FFE" w:rsidRPr="00EE6FFE" w14:paraId="7A3F26F5"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74C9D251"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Internacionalización</w:t>
            </w:r>
          </w:p>
        </w:tc>
        <w:tc>
          <w:tcPr>
            <w:tcW w:w="1365" w:type="dxa"/>
            <w:tcBorders>
              <w:top w:val="nil"/>
              <w:left w:val="nil"/>
              <w:bottom w:val="single" w:sz="4" w:space="0" w:color="auto"/>
              <w:right w:val="single" w:sz="4" w:space="0" w:color="auto"/>
            </w:tcBorders>
            <w:shd w:val="clear" w:color="000000" w:fill="00B050"/>
            <w:noWrap/>
            <w:vAlign w:val="center"/>
            <w:hideMark/>
          </w:tcPr>
          <w:p w14:paraId="7D9669BA"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9</w:t>
            </w:r>
          </w:p>
        </w:tc>
        <w:tc>
          <w:tcPr>
            <w:tcW w:w="1292" w:type="dxa"/>
            <w:tcBorders>
              <w:top w:val="nil"/>
              <w:left w:val="nil"/>
              <w:bottom w:val="single" w:sz="4" w:space="0" w:color="auto"/>
              <w:right w:val="single" w:sz="4" w:space="0" w:color="auto"/>
            </w:tcBorders>
            <w:shd w:val="clear" w:color="000000" w:fill="FF0000"/>
            <w:noWrap/>
            <w:vAlign w:val="center"/>
            <w:hideMark/>
          </w:tcPr>
          <w:p w14:paraId="0E6311F7"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1</w:t>
            </w:r>
          </w:p>
        </w:tc>
        <w:tc>
          <w:tcPr>
            <w:tcW w:w="2408" w:type="dxa"/>
            <w:tcBorders>
              <w:top w:val="nil"/>
              <w:left w:val="nil"/>
              <w:bottom w:val="single" w:sz="4" w:space="0" w:color="auto"/>
              <w:right w:val="single" w:sz="4" w:space="0" w:color="auto"/>
            </w:tcBorders>
            <w:shd w:val="clear" w:color="auto" w:fill="auto"/>
            <w:noWrap/>
            <w:vAlign w:val="center"/>
            <w:hideMark/>
          </w:tcPr>
          <w:p w14:paraId="09B4DAEB"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10</w:t>
            </w:r>
          </w:p>
        </w:tc>
      </w:tr>
      <w:tr w:rsidR="00EE6FFE" w:rsidRPr="00EE6FFE" w14:paraId="48B09E79"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63C6910B"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de Admisiones y Registro</w:t>
            </w:r>
          </w:p>
        </w:tc>
        <w:tc>
          <w:tcPr>
            <w:tcW w:w="1365" w:type="dxa"/>
            <w:tcBorders>
              <w:top w:val="nil"/>
              <w:left w:val="nil"/>
              <w:bottom w:val="single" w:sz="4" w:space="0" w:color="auto"/>
              <w:right w:val="single" w:sz="4" w:space="0" w:color="auto"/>
            </w:tcBorders>
            <w:shd w:val="clear" w:color="000000" w:fill="00B050"/>
            <w:noWrap/>
            <w:vAlign w:val="center"/>
            <w:hideMark/>
          </w:tcPr>
          <w:p w14:paraId="53B73F91"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c>
          <w:tcPr>
            <w:tcW w:w="1292" w:type="dxa"/>
            <w:tcBorders>
              <w:top w:val="nil"/>
              <w:left w:val="nil"/>
              <w:bottom w:val="single" w:sz="4" w:space="0" w:color="auto"/>
              <w:right w:val="single" w:sz="4" w:space="0" w:color="auto"/>
            </w:tcBorders>
            <w:shd w:val="clear" w:color="000000" w:fill="FF0000"/>
            <w:noWrap/>
            <w:vAlign w:val="center"/>
            <w:hideMark/>
          </w:tcPr>
          <w:p w14:paraId="380E7F15"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1F2E2791"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r>
      <w:tr w:rsidR="00EE6FFE" w:rsidRPr="00EE6FFE" w14:paraId="6D30F077"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3ABC55A9"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lastRenderedPageBreak/>
              <w:t>Planeación Institucional</w:t>
            </w:r>
          </w:p>
        </w:tc>
        <w:tc>
          <w:tcPr>
            <w:tcW w:w="1365" w:type="dxa"/>
            <w:tcBorders>
              <w:top w:val="nil"/>
              <w:left w:val="nil"/>
              <w:bottom w:val="single" w:sz="4" w:space="0" w:color="auto"/>
              <w:right w:val="single" w:sz="4" w:space="0" w:color="auto"/>
            </w:tcBorders>
            <w:shd w:val="clear" w:color="000000" w:fill="00B050"/>
            <w:noWrap/>
            <w:vAlign w:val="center"/>
            <w:hideMark/>
          </w:tcPr>
          <w:p w14:paraId="662EF5BB"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w:t>
            </w:r>
          </w:p>
        </w:tc>
        <w:tc>
          <w:tcPr>
            <w:tcW w:w="1292" w:type="dxa"/>
            <w:tcBorders>
              <w:top w:val="nil"/>
              <w:left w:val="nil"/>
              <w:bottom w:val="single" w:sz="4" w:space="0" w:color="auto"/>
              <w:right w:val="single" w:sz="4" w:space="0" w:color="auto"/>
            </w:tcBorders>
            <w:shd w:val="clear" w:color="000000" w:fill="FF0000"/>
            <w:noWrap/>
            <w:vAlign w:val="center"/>
            <w:hideMark/>
          </w:tcPr>
          <w:p w14:paraId="3295EFC2"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3D1BC3BD"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w:t>
            </w:r>
          </w:p>
        </w:tc>
      </w:tr>
      <w:tr w:rsidR="00EE6FFE" w:rsidRPr="00EE6FFE" w14:paraId="7DDD9002"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0985F806"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Infraestructura</w:t>
            </w:r>
          </w:p>
        </w:tc>
        <w:tc>
          <w:tcPr>
            <w:tcW w:w="1365" w:type="dxa"/>
            <w:tcBorders>
              <w:top w:val="nil"/>
              <w:left w:val="nil"/>
              <w:bottom w:val="single" w:sz="4" w:space="0" w:color="auto"/>
              <w:right w:val="single" w:sz="4" w:space="0" w:color="auto"/>
            </w:tcBorders>
            <w:shd w:val="clear" w:color="000000" w:fill="00B050"/>
            <w:noWrap/>
            <w:vAlign w:val="center"/>
            <w:hideMark/>
          </w:tcPr>
          <w:p w14:paraId="7388BC24"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5</w:t>
            </w:r>
          </w:p>
        </w:tc>
        <w:tc>
          <w:tcPr>
            <w:tcW w:w="1292" w:type="dxa"/>
            <w:tcBorders>
              <w:top w:val="nil"/>
              <w:left w:val="nil"/>
              <w:bottom w:val="single" w:sz="4" w:space="0" w:color="auto"/>
              <w:right w:val="single" w:sz="4" w:space="0" w:color="auto"/>
            </w:tcBorders>
            <w:shd w:val="clear" w:color="000000" w:fill="FF0000"/>
            <w:noWrap/>
            <w:vAlign w:val="center"/>
            <w:hideMark/>
          </w:tcPr>
          <w:p w14:paraId="5FA6B999"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1A2AFAA0"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5</w:t>
            </w:r>
          </w:p>
        </w:tc>
      </w:tr>
      <w:tr w:rsidR="00EE6FFE" w:rsidRPr="00EE6FFE" w14:paraId="5493BB4A"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37EA8C4C"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Seguimiento y Control</w:t>
            </w:r>
          </w:p>
        </w:tc>
        <w:tc>
          <w:tcPr>
            <w:tcW w:w="1365" w:type="dxa"/>
            <w:tcBorders>
              <w:top w:val="nil"/>
              <w:left w:val="nil"/>
              <w:bottom w:val="single" w:sz="4" w:space="0" w:color="auto"/>
              <w:right w:val="single" w:sz="4" w:space="0" w:color="auto"/>
            </w:tcBorders>
            <w:shd w:val="clear" w:color="000000" w:fill="00B050"/>
            <w:noWrap/>
            <w:vAlign w:val="center"/>
            <w:hideMark/>
          </w:tcPr>
          <w:p w14:paraId="3C1504EB"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w:t>
            </w:r>
          </w:p>
        </w:tc>
        <w:tc>
          <w:tcPr>
            <w:tcW w:w="1292" w:type="dxa"/>
            <w:tcBorders>
              <w:top w:val="nil"/>
              <w:left w:val="nil"/>
              <w:bottom w:val="single" w:sz="4" w:space="0" w:color="auto"/>
              <w:right w:val="single" w:sz="4" w:space="0" w:color="auto"/>
            </w:tcBorders>
            <w:shd w:val="clear" w:color="000000" w:fill="FF0000"/>
            <w:noWrap/>
            <w:vAlign w:val="center"/>
            <w:hideMark/>
          </w:tcPr>
          <w:p w14:paraId="0D6A85E3"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1</w:t>
            </w:r>
          </w:p>
        </w:tc>
        <w:tc>
          <w:tcPr>
            <w:tcW w:w="2408" w:type="dxa"/>
            <w:tcBorders>
              <w:top w:val="nil"/>
              <w:left w:val="nil"/>
              <w:bottom w:val="single" w:sz="4" w:space="0" w:color="auto"/>
              <w:right w:val="single" w:sz="4" w:space="0" w:color="auto"/>
            </w:tcBorders>
            <w:shd w:val="clear" w:color="auto" w:fill="auto"/>
            <w:noWrap/>
            <w:vAlign w:val="center"/>
            <w:hideMark/>
          </w:tcPr>
          <w:p w14:paraId="4A9F1920"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2</w:t>
            </w:r>
          </w:p>
        </w:tc>
      </w:tr>
      <w:tr w:rsidR="00EE6FFE" w:rsidRPr="00EE6FFE" w14:paraId="3758B904"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4284D77B"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de la Calidad</w:t>
            </w:r>
          </w:p>
        </w:tc>
        <w:tc>
          <w:tcPr>
            <w:tcW w:w="1365" w:type="dxa"/>
            <w:tcBorders>
              <w:top w:val="nil"/>
              <w:left w:val="nil"/>
              <w:bottom w:val="single" w:sz="4" w:space="0" w:color="auto"/>
              <w:right w:val="single" w:sz="4" w:space="0" w:color="auto"/>
            </w:tcBorders>
            <w:shd w:val="clear" w:color="000000" w:fill="00B050"/>
            <w:noWrap/>
            <w:vAlign w:val="center"/>
            <w:hideMark/>
          </w:tcPr>
          <w:p w14:paraId="7D4B5C1A"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w:t>
            </w:r>
          </w:p>
        </w:tc>
        <w:tc>
          <w:tcPr>
            <w:tcW w:w="1292" w:type="dxa"/>
            <w:tcBorders>
              <w:top w:val="nil"/>
              <w:left w:val="nil"/>
              <w:bottom w:val="single" w:sz="4" w:space="0" w:color="auto"/>
              <w:right w:val="single" w:sz="4" w:space="0" w:color="auto"/>
            </w:tcBorders>
            <w:shd w:val="clear" w:color="000000" w:fill="FF0000"/>
            <w:noWrap/>
            <w:vAlign w:val="center"/>
            <w:hideMark/>
          </w:tcPr>
          <w:p w14:paraId="4F194A27"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183EABFD"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1</w:t>
            </w:r>
          </w:p>
        </w:tc>
      </w:tr>
      <w:tr w:rsidR="00EE6FFE" w:rsidRPr="00EE6FFE" w14:paraId="392B4DDE"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61BE9974"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Bienestar Institucional</w:t>
            </w:r>
          </w:p>
        </w:tc>
        <w:tc>
          <w:tcPr>
            <w:tcW w:w="1365" w:type="dxa"/>
            <w:tcBorders>
              <w:top w:val="nil"/>
              <w:left w:val="nil"/>
              <w:bottom w:val="single" w:sz="4" w:space="0" w:color="auto"/>
              <w:right w:val="single" w:sz="4" w:space="0" w:color="auto"/>
            </w:tcBorders>
            <w:shd w:val="clear" w:color="000000" w:fill="00B050"/>
            <w:noWrap/>
            <w:vAlign w:val="center"/>
            <w:hideMark/>
          </w:tcPr>
          <w:p w14:paraId="6811F086"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5</w:t>
            </w:r>
          </w:p>
        </w:tc>
        <w:tc>
          <w:tcPr>
            <w:tcW w:w="1292" w:type="dxa"/>
            <w:tcBorders>
              <w:top w:val="nil"/>
              <w:left w:val="nil"/>
              <w:bottom w:val="single" w:sz="4" w:space="0" w:color="auto"/>
              <w:right w:val="single" w:sz="4" w:space="0" w:color="auto"/>
            </w:tcBorders>
            <w:shd w:val="clear" w:color="000000" w:fill="FF0000"/>
            <w:noWrap/>
            <w:vAlign w:val="center"/>
            <w:hideMark/>
          </w:tcPr>
          <w:p w14:paraId="1345286A"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5F2C14EA"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5</w:t>
            </w:r>
          </w:p>
        </w:tc>
      </w:tr>
      <w:tr w:rsidR="00EE6FFE" w:rsidRPr="00EE6FFE" w14:paraId="069BE32B"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4D5716F6"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y Desarrollo del Talento Humano</w:t>
            </w:r>
          </w:p>
        </w:tc>
        <w:tc>
          <w:tcPr>
            <w:tcW w:w="1365" w:type="dxa"/>
            <w:tcBorders>
              <w:top w:val="nil"/>
              <w:left w:val="nil"/>
              <w:bottom w:val="single" w:sz="4" w:space="0" w:color="auto"/>
              <w:right w:val="single" w:sz="4" w:space="0" w:color="auto"/>
            </w:tcBorders>
            <w:shd w:val="clear" w:color="000000" w:fill="00B050"/>
            <w:noWrap/>
            <w:vAlign w:val="center"/>
            <w:hideMark/>
          </w:tcPr>
          <w:p w14:paraId="2118C8FD"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4</w:t>
            </w:r>
          </w:p>
        </w:tc>
        <w:tc>
          <w:tcPr>
            <w:tcW w:w="1292" w:type="dxa"/>
            <w:tcBorders>
              <w:top w:val="nil"/>
              <w:left w:val="nil"/>
              <w:bottom w:val="single" w:sz="4" w:space="0" w:color="auto"/>
              <w:right w:val="single" w:sz="4" w:space="0" w:color="auto"/>
            </w:tcBorders>
            <w:shd w:val="clear" w:color="000000" w:fill="FF0000"/>
            <w:noWrap/>
            <w:vAlign w:val="center"/>
            <w:hideMark/>
          </w:tcPr>
          <w:p w14:paraId="4EE361C8"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042B27A0"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4</w:t>
            </w:r>
          </w:p>
        </w:tc>
      </w:tr>
      <w:tr w:rsidR="00EE6FFE" w:rsidRPr="00EE6FFE" w14:paraId="21B64D42"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2566AB62"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Financiera</w:t>
            </w:r>
          </w:p>
        </w:tc>
        <w:tc>
          <w:tcPr>
            <w:tcW w:w="1365" w:type="dxa"/>
            <w:tcBorders>
              <w:top w:val="nil"/>
              <w:left w:val="nil"/>
              <w:bottom w:val="single" w:sz="4" w:space="0" w:color="auto"/>
              <w:right w:val="single" w:sz="4" w:space="0" w:color="auto"/>
            </w:tcBorders>
            <w:shd w:val="clear" w:color="000000" w:fill="00B050"/>
            <w:noWrap/>
            <w:vAlign w:val="center"/>
            <w:hideMark/>
          </w:tcPr>
          <w:p w14:paraId="6EC9A25E"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4</w:t>
            </w:r>
          </w:p>
        </w:tc>
        <w:tc>
          <w:tcPr>
            <w:tcW w:w="1292" w:type="dxa"/>
            <w:tcBorders>
              <w:top w:val="nil"/>
              <w:left w:val="nil"/>
              <w:bottom w:val="single" w:sz="4" w:space="0" w:color="auto"/>
              <w:right w:val="single" w:sz="4" w:space="0" w:color="auto"/>
            </w:tcBorders>
            <w:shd w:val="clear" w:color="000000" w:fill="FF0000"/>
            <w:noWrap/>
            <w:vAlign w:val="center"/>
            <w:hideMark/>
          </w:tcPr>
          <w:p w14:paraId="4866F333"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308CB987"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4</w:t>
            </w:r>
          </w:p>
        </w:tc>
      </w:tr>
      <w:tr w:rsidR="00EE6FFE" w:rsidRPr="00EE6FFE" w14:paraId="44F61605"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69BE8EF4"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Gestión Legal</w:t>
            </w:r>
          </w:p>
        </w:tc>
        <w:tc>
          <w:tcPr>
            <w:tcW w:w="1365" w:type="dxa"/>
            <w:tcBorders>
              <w:top w:val="nil"/>
              <w:left w:val="nil"/>
              <w:bottom w:val="single" w:sz="4" w:space="0" w:color="auto"/>
              <w:right w:val="single" w:sz="4" w:space="0" w:color="auto"/>
            </w:tcBorders>
            <w:shd w:val="clear" w:color="000000" w:fill="00B050"/>
            <w:noWrap/>
            <w:vAlign w:val="center"/>
            <w:hideMark/>
          </w:tcPr>
          <w:p w14:paraId="4E7F0666"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7</w:t>
            </w:r>
          </w:p>
        </w:tc>
        <w:tc>
          <w:tcPr>
            <w:tcW w:w="1292" w:type="dxa"/>
            <w:tcBorders>
              <w:top w:val="nil"/>
              <w:left w:val="nil"/>
              <w:bottom w:val="single" w:sz="4" w:space="0" w:color="auto"/>
              <w:right w:val="single" w:sz="4" w:space="0" w:color="auto"/>
            </w:tcBorders>
            <w:shd w:val="clear" w:color="000000" w:fill="FF0000"/>
            <w:noWrap/>
            <w:vAlign w:val="center"/>
            <w:hideMark/>
          </w:tcPr>
          <w:p w14:paraId="7A255623"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056669D0"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7</w:t>
            </w:r>
          </w:p>
        </w:tc>
      </w:tr>
      <w:tr w:rsidR="00EE6FFE" w:rsidRPr="00EE6FFE" w14:paraId="08BFC3D0"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2FB7A645"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 xml:space="preserve">Docencia </w:t>
            </w:r>
          </w:p>
        </w:tc>
        <w:tc>
          <w:tcPr>
            <w:tcW w:w="1365" w:type="dxa"/>
            <w:tcBorders>
              <w:top w:val="nil"/>
              <w:left w:val="nil"/>
              <w:bottom w:val="single" w:sz="4" w:space="0" w:color="auto"/>
              <w:right w:val="single" w:sz="4" w:space="0" w:color="auto"/>
            </w:tcBorders>
            <w:shd w:val="clear" w:color="000000" w:fill="00B050"/>
            <w:noWrap/>
            <w:vAlign w:val="center"/>
            <w:hideMark/>
          </w:tcPr>
          <w:p w14:paraId="3372607C"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5</w:t>
            </w:r>
          </w:p>
        </w:tc>
        <w:tc>
          <w:tcPr>
            <w:tcW w:w="1292" w:type="dxa"/>
            <w:tcBorders>
              <w:top w:val="nil"/>
              <w:left w:val="nil"/>
              <w:bottom w:val="single" w:sz="4" w:space="0" w:color="auto"/>
              <w:right w:val="single" w:sz="4" w:space="0" w:color="auto"/>
            </w:tcBorders>
            <w:shd w:val="clear" w:color="000000" w:fill="FF0000"/>
            <w:noWrap/>
            <w:vAlign w:val="center"/>
            <w:hideMark/>
          </w:tcPr>
          <w:p w14:paraId="45EC5076"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2</w:t>
            </w:r>
          </w:p>
        </w:tc>
        <w:tc>
          <w:tcPr>
            <w:tcW w:w="2408" w:type="dxa"/>
            <w:tcBorders>
              <w:top w:val="nil"/>
              <w:left w:val="nil"/>
              <w:bottom w:val="single" w:sz="4" w:space="0" w:color="auto"/>
              <w:right w:val="single" w:sz="4" w:space="0" w:color="auto"/>
            </w:tcBorders>
            <w:shd w:val="clear" w:color="auto" w:fill="auto"/>
            <w:noWrap/>
            <w:vAlign w:val="center"/>
            <w:hideMark/>
          </w:tcPr>
          <w:p w14:paraId="15D7896C"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7</w:t>
            </w:r>
          </w:p>
        </w:tc>
      </w:tr>
      <w:tr w:rsidR="00EE6FFE" w:rsidRPr="00EE6FFE" w14:paraId="7776C248"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auto" w:fill="auto"/>
            <w:noWrap/>
            <w:vAlign w:val="center"/>
            <w:hideMark/>
          </w:tcPr>
          <w:p w14:paraId="3FC7B24B" w14:textId="77777777" w:rsidR="00EE6FFE" w:rsidRPr="00EE6FFE" w:rsidRDefault="00EE6FFE" w:rsidP="00EE6FFE">
            <w:pPr>
              <w:spacing w:after="0" w:line="240" w:lineRule="auto"/>
              <w:rPr>
                <w:rFonts w:ascii="Cambria" w:eastAsia="Times New Roman" w:hAnsi="Cambria" w:cs="Calibri"/>
                <w:b/>
                <w:bCs/>
                <w:color w:val="000000"/>
                <w:kern w:val="0"/>
                <w:sz w:val="24"/>
                <w:szCs w:val="24"/>
                <w:lang w:eastAsia="es-CO"/>
                <w14:ligatures w14:val="none"/>
              </w:rPr>
            </w:pPr>
            <w:r w:rsidRPr="00EE6FFE">
              <w:rPr>
                <w:rFonts w:ascii="Cambria" w:eastAsia="Times New Roman" w:hAnsi="Cambria" w:cs="Calibri"/>
                <w:b/>
                <w:bCs/>
                <w:color w:val="000000"/>
                <w:kern w:val="0"/>
                <w:sz w:val="24"/>
                <w:szCs w:val="24"/>
                <w:lang w:eastAsia="es-CO"/>
                <w14:ligatures w14:val="none"/>
              </w:rPr>
              <w:t>Investigación</w:t>
            </w:r>
          </w:p>
        </w:tc>
        <w:tc>
          <w:tcPr>
            <w:tcW w:w="1365" w:type="dxa"/>
            <w:tcBorders>
              <w:top w:val="nil"/>
              <w:left w:val="nil"/>
              <w:bottom w:val="single" w:sz="4" w:space="0" w:color="auto"/>
              <w:right w:val="single" w:sz="4" w:space="0" w:color="auto"/>
            </w:tcBorders>
            <w:shd w:val="clear" w:color="auto" w:fill="auto"/>
            <w:noWrap/>
            <w:vAlign w:val="center"/>
            <w:hideMark/>
          </w:tcPr>
          <w:p w14:paraId="6B0FB5C5"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 </w:t>
            </w:r>
          </w:p>
        </w:tc>
        <w:tc>
          <w:tcPr>
            <w:tcW w:w="1292" w:type="dxa"/>
            <w:tcBorders>
              <w:top w:val="nil"/>
              <w:left w:val="nil"/>
              <w:bottom w:val="single" w:sz="4" w:space="0" w:color="auto"/>
              <w:right w:val="single" w:sz="4" w:space="0" w:color="auto"/>
            </w:tcBorders>
            <w:shd w:val="clear" w:color="auto" w:fill="auto"/>
            <w:noWrap/>
            <w:vAlign w:val="center"/>
            <w:hideMark/>
          </w:tcPr>
          <w:p w14:paraId="54BD2E31"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 </w:t>
            </w:r>
          </w:p>
        </w:tc>
        <w:tc>
          <w:tcPr>
            <w:tcW w:w="2408" w:type="dxa"/>
            <w:tcBorders>
              <w:top w:val="nil"/>
              <w:left w:val="nil"/>
              <w:bottom w:val="single" w:sz="4" w:space="0" w:color="auto"/>
              <w:right w:val="single" w:sz="4" w:space="0" w:color="auto"/>
            </w:tcBorders>
            <w:shd w:val="clear" w:color="auto" w:fill="auto"/>
            <w:noWrap/>
            <w:vAlign w:val="center"/>
            <w:hideMark/>
          </w:tcPr>
          <w:p w14:paraId="78A1EFBB" w14:textId="77777777" w:rsidR="00EE6FFE" w:rsidRPr="00EE6FFE" w:rsidRDefault="00EE6FFE" w:rsidP="00EE6FFE">
            <w:pPr>
              <w:spacing w:after="0" w:line="240" w:lineRule="auto"/>
              <w:jc w:val="center"/>
              <w:rPr>
                <w:rFonts w:ascii="Cambria" w:eastAsia="Times New Roman" w:hAnsi="Cambria" w:cs="Calibri"/>
                <w:color w:val="000000"/>
                <w:kern w:val="0"/>
                <w:sz w:val="24"/>
                <w:szCs w:val="24"/>
                <w:lang w:eastAsia="es-CO"/>
                <w14:ligatures w14:val="none"/>
              </w:rPr>
            </w:pPr>
            <w:r w:rsidRPr="00EE6FFE">
              <w:rPr>
                <w:rFonts w:ascii="Cambria" w:eastAsia="Times New Roman" w:hAnsi="Cambria" w:cs="Calibri"/>
                <w:color w:val="000000"/>
                <w:kern w:val="0"/>
                <w:sz w:val="24"/>
                <w:szCs w:val="24"/>
                <w:lang w:eastAsia="es-CO"/>
                <w14:ligatures w14:val="none"/>
              </w:rPr>
              <w:t>0</w:t>
            </w:r>
          </w:p>
        </w:tc>
      </w:tr>
      <w:tr w:rsidR="00DC1B96" w:rsidRPr="00EE6FFE" w14:paraId="055AF6E3" w14:textId="77777777" w:rsidTr="00EE6FFE">
        <w:trPr>
          <w:trHeight w:val="299"/>
          <w:jc w:val="center"/>
        </w:trPr>
        <w:tc>
          <w:tcPr>
            <w:tcW w:w="2857" w:type="dxa"/>
            <w:tcBorders>
              <w:top w:val="nil"/>
              <w:left w:val="single" w:sz="4" w:space="0" w:color="auto"/>
              <w:bottom w:val="single" w:sz="4" w:space="0" w:color="auto"/>
              <w:right w:val="single" w:sz="4" w:space="0" w:color="auto"/>
            </w:tcBorders>
            <w:shd w:val="clear" w:color="000000" w:fill="002060"/>
            <w:noWrap/>
            <w:vAlign w:val="center"/>
            <w:hideMark/>
          </w:tcPr>
          <w:p w14:paraId="22082CFC" w14:textId="77777777" w:rsidR="00EE6FFE" w:rsidRPr="00EE6FFE" w:rsidRDefault="00EE6FFE" w:rsidP="00EE6FFE">
            <w:pPr>
              <w:spacing w:after="0" w:line="240" w:lineRule="auto"/>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TOTAL</w:t>
            </w:r>
          </w:p>
        </w:tc>
        <w:tc>
          <w:tcPr>
            <w:tcW w:w="1365" w:type="dxa"/>
            <w:tcBorders>
              <w:top w:val="nil"/>
              <w:left w:val="nil"/>
              <w:bottom w:val="single" w:sz="4" w:space="0" w:color="auto"/>
              <w:right w:val="single" w:sz="4" w:space="0" w:color="auto"/>
            </w:tcBorders>
            <w:shd w:val="clear" w:color="000000" w:fill="002060"/>
            <w:noWrap/>
            <w:vAlign w:val="center"/>
            <w:hideMark/>
          </w:tcPr>
          <w:p w14:paraId="2EB27785"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63</w:t>
            </w:r>
          </w:p>
        </w:tc>
        <w:tc>
          <w:tcPr>
            <w:tcW w:w="1292" w:type="dxa"/>
            <w:tcBorders>
              <w:top w:val="nil"/>
              <w:left w:val="nil"/>
              <w:bottom w:val="single" w:sz="4" w:space="0" w:color="auto"/>
              <w:right w:val="single" w:sz="4" w:space="0" w:color="auto"/>
            </w:tcBorders>
            <w:shd w:val="clear" w:color="000000" w:fill="002060"/>
            <w:noWrap/>
            <w:vAlign w:val="center"/>
            <w:hideMark/>
          </w:tcPr>
          <w:p w14:paraId="0F9FF718"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5</w:t>
            </w:r>
          </w:p>
        </w:tc>
        <w:tc>
          <w:tcPr>
            <w:tcW w:w="2408" w:type="dxa"/>
            <w:tcBorders>
              <w:top w:val="nil"/>
              <w:left w:val="nil"/>
              <w:bottom w:val="single" w:sz="4" w:space="0" w:color="auto"/>
              <w:right w:val="single" w:sz="4" w:space="0" w:color="auto"/>
            </w:tcBorders>
            <w:shd w:val="clear" w:color="000000" w:fill="002060"/>
            <w:noWrap/>
            <w:vAlign w:val="center"/>
            <w:hideMark/>
          </w:tcPr>
          <w:p w14:paraId="06D71C07" w14:textId="77777777" w:rsidR="00EE6FFE" w:rsidRPr="00EE6FFE" w:rsidRDefault="00EE6FFE" w:rsidP="00EE6FFE">
            <w:pPr>
              <w:spacing w:after="0" w:line="240" w:lineRule="auto"/>
              <w:jc w:val="center"/>
              <w:rPr>
                <w:rFonts w:ascii="Cambria" w:eastAsia="Times New Roman" w:hAnsi="Cambria" w:cs="Calibri"/>
                <w:color w:val="FFFFFF"/>
                <w:kern w:val="0"/>
                <w:sz w:val="24"/>
                <w:szCs w:val="24"/>
                <w:lang w:eastAsia="es-CO"/>
                <w14:ligatures w14:val="none"/>
              </w:rPr>
            </w:pPr>
            <w:r w:rsidRPr="00EE6FFE">
              <w:rPr>
                <w:rFonts w:ascii="Cambria" w:eastAsia="Times New Roman" w:hAnsi="Cambria" w:cs="Calibri"/>
                <w:color w:val="FFFFFF"/>
                <w:kern w:val="0"/>
                <w:sz w:val="24"/>
                <w:szCs w:val="24"/>
                <w:lang w:eastAsia="es-CO"/>
                <w14:ligatures w14:val="none"/>
              </w:rPr>
              <w:t>68</w:t>
            </w:r>
          </w:p>
        </w:tc>
      </w:tr>
    </w:tbl>
    <w:p w14:paraId="3F45FBD7" w14:textId="77777777" w:rsidR="00A140A9" w:rsidRDefault="00A140A9" w:rsidP="006A7D03">
      <w:pPr>
        <w:jc w:val="both"/>
        <w:rPr>
          <w:rFonts w:ascii="Cambria" w:hAnsi="Cambria"/>
          <w:sz w:val="24"/>
          <w:szCs w:val="24"/>
        </w:rPr>
      </w:pPr>
    </w:p>
    <w:p w14:paraId="17D0CBFF" w14:textId="56B6D63E" w:rsidR="006A7D03" w:rsidRPr="00DC1B96" w:rsidRDefault="006A7D03" w:rsidP="006A7D03">
      <w:pPr>
        <w:jc w:val="both"/>
        <w:rPr>
          <w:rFonts w:ascii="Cambria" w:hAnsi="Cambria"/>
          <w:sz w:val="24"/>
          <w:szCs w:val="24"/>
        </w:rPr>
      </w:pPr>
      <w:r w:rsidRPr="00DC1B96">
        <w:rPr>
          <w:rFonts w:ascii="Cambria" w:hAnsi="Cambria"/>
          <w:sz w:val="24"/>
          <w:szCs w:val="24"/>
        </w:rPr>
        <w:t>La mayoría de los procesos han mostrado resultados satisfactorios, lo que refleja una gestión institucional robusta.</w:t>
      </w:r>
      <w:r w:rsidR="00C66019" w:rsidRPr="00DC1B96">
        <w:rPr>
          <w:rFonts w:ascii="Cambria" w:hAnsi="Cambria"/>
          <w:sz w:val="24"/>
          <w:szCs w:val="24"/>
        </w:rPr>
        <w:t xml:space="preserve"> </w:t>
      </w:r>
      <w:r w:rsidRPr="00DC1B96">
        <w:rPr>
          <w:rFonts w:ascii="Cambria" w:hAnsi="Cambria"/>
          <w:sz w:val="24"/>
          <w:szCs w:val="24"/>
        </w:rPr>
        <w:t xml:space="preserve">Los procesos </w:t>
      </w:r>
      <w:r w:rsidR="003B7635" w:rsidRPr="00DC1B96">
        <w:rPr>
          <w:rFonts w:ascii="Cambria" w:hAnsi="Cambria"/>
          <w:sz w:val="24"/>
          <w:szCs w:val="24"/>
        </w:rPr>
        <w:t xml:space="preserve">como </w:t>
      </w:r>
      <w:r w:rsidRPr="00DC1B96">
        <w:rPr>
          <w:rFonts w:ascii="Cambria" w:hAnsi="Cambria"/>
          <w:sz w:val="24"/>
          <w:szCs w:val="24"/>
        </w:rPr>
        <w:t xml:space="preserve">Gestión de Bibliotecas, Internacionalización y Seguimiento y </w:t>
      </w:r>
      <w:r w:rsidR="00C66019" w:rsidRPr="00DC1B96">
        <w:rPr>
          <w:rFonts w:ascii="Cambria" w:hAnsi="Cambria"/>
          <w:sz w:val="24"/>
          <w:szCs w:val="24"/>
        </w:rPr>
        <w:t>Control</w:t>
      </w:r>
      <w:r w:rsidRPr="00DC1B96">
        <w:rPr>
          <w:rFonts w:ascii="Cambria" w:hAnsi="Cambria"/>
          <w:sz w:val="24"/>
          <w:szCs w:val="24"/>
        </w:rPr>
        <w:t xml:space="preserve"> deben ser priorizados en los próximos ciclos de evaluación. Se recomienda revisar los planos de acción asociados a estos indicadores y ajustar los recursos o estrategias donde sea necesario.</w:t>
      </w:r>
    </w:p>
    <w:p w14:paraId="2D7E874A" w14:textId="77876F2E" w:rsidR="006A7D03" w:rsidRPr="00DC1B96" w:rsidRDefault="006A7D03" w:rsidP="00516DCD">
      <w:pPr>
        <w:jc w:val="both"/>
        <w:rPr>
          <w:rFonts w:ascii="Cambria" w:hAnsi="Cambria"/>
          <w:sz w:val="24"/>
          <w:szCs w:val="24"/>
        </w:rPr>
      </w:pPr>
      <w:r w:rsidRPr="00DC1B96">
        <w:rPr>
          <w:rFonts w:ascii="Cambria" w:hAnsi="Cambria"/>
          <w:sz w:val="24"/>
          <w:szCs w:val="24"/>
        </w:rPr>
        <w:t>Los procesos con todos los indicadores satisfactorios, como Adquisición y Contratación, Comunicación y Bienestar Institucional, deben continuar con sus estrategias actuales y buscar formas de optimización para mantener o superar los niveles de desempeño alcanzados.</w:t>
      </w:r>
    </w:p>
    <w:p w14:paraId="2A7B5ABC" w14:textId="77777777" w:rsidR="001A119D" w:rsidRDefault="001A119D" w:rsidP="00386CF7">
      <w:pPr>
        <w:rPr>
          <w:rFonts w:ascii="Cambria" w:hAnsi="Cambria"/>
          <w:b/>
          <w:bCs/>
          <w:sz w:val="24"/>
          <w:szCs w:val="24"/>
        </w:rPr>
      </w:pPr>
    </w:p>
    <w:p w14:paraId="1FD3034A" w14:textId="77777777" w:rsidR="001A119D" w:rsidRDefault="001A119D" w:rsidP="00386CF7">
      <w:pPr>
        <w:rPr>
          <w:rFonts w:ascii="Cambria" w:hAnsi="Cambria"/>
          <w:b/>
          <w:bCs/>
          <w:sz w:val="24"/>
          <w:szCs w:val="24"/>
        </w:rPr>
      </w:pPr>
    </w:p>
    <w:p w14:paraId="7F88021B" w14:textId="77777777" w:rsidR="001A119D" w:rsidRDefault="001A119D" w:rsidP="00386CF7">
      <w:pPr>
        <w:rPr>
          <w:rFonts w:ascii="Cambria" w:hAnsi="Cambria"/>
          <w:b/>
          <w:bCs/>
          <w:sz w:val="24"/>
          <w:szCs w:val="24"/>
        </w:rPr>
      </w:pPr>
    </w:p>
    <w:p w14:paraId="7FB7C4F0" w14:textId="77777777" w:rsidR="001A119D" w:rsidRDefault="001A119D" w:rsidP="00386CF7">
      <w:pPr>
        <w:rPr>
          <w:rFonts w:ascii="Cambria" w:hAnsi="Cambria"/>
          <w:b/>
          <w:bCs/>
          <w:sz w:val="24"/>
          <w:szCs w:val="24"/>
        </w:rPr>
      </w:pPr>
    </w:p>
    <w:p w14:paraId="70BFFF4F" w14:textId="77777777" w:rsidR="001A119D" w:rsidRDefault="001A119D" w:rsidP="00386CF7">
      <w:pPr>
        <w:rPr>
          <w:rFonts w:ascii="Cambria" w:hAnsi="Cambria"/>
          <w:b/>
          <w:bCs/>
          <w:sz w:val="24"/>
          <w:szCs w:val="24"/>
        </w:rPr>
      </w:pPr>
    </w:p>
    <w:p w14:paraId="29298E2F" w14:textId="77777777" w:rsidR="001A119D" w:rsidRDefault="001A119D" w:rsidP="00386CF7">
      <w:pPr>
        <w:rPr>
          <w:rFonts w:ascii="Cambria" w:hAnsi="Cambria"/>
          <w:b/>
          <w:bCs/>
          <w:sz w:val="24"/>
          <w:szCs w:val="24"/>
        </w:rPr>
      </w:pPr>
    </w:p>
    <w:p w14:paraId="52150A17" w14:textId="77777777" w:rsidR="001A119D" w:rsidRDefault="001A119D" w:rsidP="00386CF7">
      <w:pPr>
        <w:rPr>
          <w:rFonts w:ascii="Cambria" w:hAnsi="Cambria"/>
          <w:b/>
          <w:bCs/>
          <w:sz w:val="24"/>
          <w:szCs w:val="24"/>
        </w:rPr>
      </w:pPr>
    </w:p>
    <w:p w14:paraId="4E370E6D" w14:textId="77777777" w:rsidR="001A119D" w:rsidRDefault="001A119D" w:rsidP="00386CF7">
      <w:pPr>
        <w:rPr>
          <w:rFonts w:ascii="Cambria" w:hAnsi="Cambria"/>
          <w:b/>
          <w:bCs/>
          <w:sz w:val="24"/>
          <w:szCs w:val="24"/>
        </w:rPr>
      </w:pPr>
    </w:p>
    <w:p w14:paraId="4D63A747" w14:textId="77777777" w:rsidR="001A119D" w:rsidRDefault="001A119D" w:rsidP="00386CF7">
      <w:pPr>
        <w:rPr>
          <w:rFonts w:ascii="Cambria" w:hAnsi="Cambria"/>
          <w:b/>
          <w:bCs/>
          <w:sz w:val="24"/>
          <w:szCs w:val="24"/>
        </w:rPr>
      </w:pPr>
    </w:p>
    <w:p w14:paraId="2DAAFA1D" w14:textId="31315A58" w:rsidR="00831D6F" w:rsidRPr="00DC1B96" w:rsidRDefault="00516DCD" w:rsidP="00386CF7">
      <w:pPr>
        <w:rPr>
          <w:rFonts w:ascii="Cambria" w:hAnsi="Cambria"/>
          <w:b/>
          <w:bCs/>
          <w:sz w:val="24"/>
          <w:szCs w:val="24"/>
        </w:rPr>
      </w:pPr>
      <w:r w:rsidRPr="00DC1B96">
        <w:rPr>
          <w:rFonts w:ascii="Cambria" w:hAnsi="Cambria"/>
          <w:b/>
          <w:bCs/>
          <w:sz w:val="24"/>
          <w:szCs w:val="24"/>
        </w:rPr>
        <w:lastRenderedPageBreak/>
        <w:t xml:space="preserve">Comportamiento resultados generales de </w:t>
      </w:r>
      <w:r w:rsidR="008F0773" w:rsidRPr="00DC1B96">
        <w:rPr>
          <w:rFonts w:ascii="Cambria" w:hAnsi="Cambria"/>
          <w:b/>
          <w:bCs/>
          <w:sz w:val="24"/>
          <w:szCs w:val="24"/>
        </w:rPr>
        <w:t>indicador</w:t>
      </w:r>
      <w:r w:rsidR="009C4B35" w:rsidRPr="00DC1B96">
        <w:rPr>
          <w:rFonts w:ascii="Cambria" w:hAnsi="Cambria"/>
          <w:b/>
          <w:bCs/>
          <w:sz w:val="24"/>
          <w:szCs w:val="24"/>
        </w:rPr>
        <w:t xml:space="preserve"> Satisfacción de los Usuarios del SIGEC</w:t>
      </w:r>
    </w:p>
    <w:p w14:paraId="3B5819E2" w14:textId="669536D5" w:rsidR="006A7D03" w:rsidRDefault="00651AE1" w:rsidP="000B6241">
      <w:pPr>
        <w:jc w:val="center"/>
        <w:rPr>
          <w:rFonts w:ascii="Cambria" w:hAnsi="Cambria"/>
          <w:b/>
          <w:bCs/>
          <w:sz w:val="32"/>
          <w:szCs w:val="32"/>
        </w:rPr>
      </w:pPr>
      <w:r>
        <w:rPr>
          <w:noProof/>
        </w:rPr>
        <w:drawing>
          <wp:inline distT="0" distB="0" distL="0" distR="0" wp14:anchorId="05657E45" wp14:editId="55CA019B">
            <wp:extent cx="5494637" cy="3492500"/>
            <wp:effectExtent l="0" t="0" r="11430" b="12700"/>
            <wp:docPr id="691834378" name="Gráfico 1">
              <a:extLst xmlns:a="http://schemas.openxmlformats.org/drawingml/2006/main">
                <a:ext uri="{FF2B5EF4-FFF2-40B4-BE49-F238E27FC236}">
                  <a16:creationId xmlns:a16="http://schemas.microsoft.com/office/drawing/2014/main" id="{99852B87-B97E-403C-70C3-59FCA251F64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2E713D73" w14:textId="2DC5D518" w:rsidR="001A119D" w:rsidRPr="001A119D" w:rsidRDefault="001A119D" w:rsidP="001A119D">
      <w:pPr>
        <w:tabs>
          <w:tab w:val="left" w:pos="426"/>
        </w:tabs>
        <w:jc w:val="both"/>
        <w:rPr>
          <w:rFonts w:ascii="Cambria" w:hAnsi="Cambria" w:cs="Tahoma"/>
          <w:sz w:val="24"/>
          <w:szCs w:val="24"/>
        </w:rPr>
      </w:pPr>
      <w:r w:rsidRPr="001A119D">
        <w:rPr>
          <w:rFonts w:ascii="Cambria" w:hAnsi="Cambria" w:cs="Tahoma"/>
          <w:sz w:val="24"/>
          <w:szCs w:val="24"/>
        </w:rPr>
        <w:t>El gráfico muestra el comportamiento del indicador de satisfacción de los usuarios del SIGEC desde el primer semestre de 2019 hasta el primer semestre de 2024, con fluctuaciones notables en los niveles de satisfacción a lo largo del tiempo.</w:t>
      </w:r>
      <w:r>
        <w:rPr>
          <w:rFonts w:ascii="Cambria" w:hAnsi="Cambria" w:cs="Tahoma"/>
          <w:sz w:val="24"/>
          <w:szCs w:val="24"/>
        </w:rPr>
        <w:t xml:space="preserve"> </w:t>
      </w:r>
      <w:r w:rsidRPr="001A119D">
        <w:rPr>
          <w:rFonts w:ascii="Cambria" w:hAnsi="Cambria" w:cs="Tahoma"/>
          <w:sz w:val="24"/>
          <w:szCs w:val="24"/>
        </w:rPr>
        <w:t>Desde el 2019-I hasta el 2021-I, el nivel de satisfacción se mantuvo alto, con picos importantes, alcanzando un máximo del 95,6% en el 2021-</w:t>
      </w:r>
      <w:r w:rsidRPr="001A119D">
        <w:rPr>
          <w:rFonts w:ascii="Cambria" w:hAnsi="Cambria" w:cs="Tahoma"/>
          <w:sz w:val="24"/>
          <w:szCs w:val="24"/>
        </w:rPr>
        <w:t>I.</w:t>
      </w:r>
      <w:r w:rsidRPr="001A119D">
        <w:rPr>
          <w:rFonts w:ascii="Cambria" w:hAnsi="Cambria" w:cs="Tahoma"/>
          <w:sz w:val="24"/>
          <w:szCs w:val="24"/>
        </w:rPr>
        <w:t xml:space="preserve"> Esto refleja un período de estabilidad y buen funcionamiento del sistema, donde los usuarios parecían satisfechos con el servicio ofrecido por el SIGEC.</w:t>
      </w:r>
    </w:p>
    <w:p w14:paraId="494F3ED7" w14:textId="77777777" w:rsidR="001A119D" w:rsidRPr="001A119D" w:rsidRDefault="001A119D" w:rsidP="001A119D">
      <w:pPr>
        <w:tabs>
          <w:tab w:val="left" w:pos="426"/>
        </w:tabs>
        <w:jc w:val="both"/>
        <w:rPr>
          <w:rFonts w:ascii="Cambria" w:hAnsi="Cambria" w:cs="Tahoma"/>
          <w:sz w:val="24"/>
          <w:szCs w:val="24"/>
        </w:rPr>
      </w:pPr>
      <w:r w:rsidRPr="001A119D">
        <w:rPr>
          <w:rFonts w:ascii="Cambria" w:hAnsi="Cambria" w:cs="Tahoma"/>
          <w:sz w:val="24"/>
          <w:szCs w:val="24"/>
        </w:rPr>
        <w:t>A partir del segundo semestre de 2021, se observa una caída en la satisfacción, llegando a un 89,6% en 2021-II y manteniéndose en ese rango (entre 89,6% y 91,9%) en los semestres siguientes. Este descenso, aunque no tan abrupto, sugiere que comenzaron a surgir ciertos problemas o deficiencias que afectarán la percepción de los usuarios sobre el servicio.</w:t>
      </w:r>
    </w:p>
    <w:p w14:paraId="42CB9CE7" w14:textId="0BDAAB26" w:rsidR="00F13F3A" w:rsidRPr="001A119D" w:rsidRDefault="001A119D" w:rsidP="00F13F3A">
      <w:pPr>
        <w:tabs>
          <w:tab w:val="left" w:pos="426"/>
        </w:tabs>
        <w:jc w:val="both"/>
        <w:rPr>
          <w:rFonts w:ascii="Cambria" w:hAnsi="Cambria" w:cs="Tahoma"/>
          <w:sz w:val="24"/>
          <w:szCs w:val="24"/>
        </w:rPr>
      </w:pPr>
      <w:r w:rsidRPr="001A119D">
        <w:rPr>
          <w:rFonts w:ascii="Cambria" w:hAnsi="Cambria" w:cs="Tahoma"/>
          <w:sz w:val="24"/>
          <w:szCs w:val="24"/>
        </w:rPr>
        <w:t xml:space="preserve">El dato más preocupante es la caída en la medición de 72,57% en el primer semestre de </w:t>
      </w:r>
      <w:r w:rsidRPr="001A119D">
        <w:rPr>
          <w:rFonts w:ascii="Cambria" w:hAnsi="Cambria" w:cs="Tahoma"/>
          <w:sz w:val="24"/>
          <w:szCs w:val="24"/>
        </w:rPr>
        <w:t>2024,</w:t>
      </w:r>
      <w:r w:rsidRPr="001A119D">
        <w:rPr>
          <w:rFonts w:ascii="Cambria" w:hAnsi="Cambria" w:cs="Tahoma"/>
          <w:sz w:val="24"/>
          <w:szCs w:val="24"/>
        </w:rPr>
        <w:t xml:space="preserve"> una diferencia significativa respecto a los semestres anteriores</w:t>
      </w:r>
      <w:r>
        <w:rPr>
          <w:rFonts w:ascii="Cambria" w:hAnsi="Cambria" w:cs="Tahoma"/>
          <w:sz w:val="24"/>
          <w:szCs w:val="24"/>
        </w:rPr>
        <w:t>, e</w:t>
      </w:r>
      <w:r w:rsidR="00F13F3A" w:rsidRPr="00DC1B96">
        <w:rPr>
          <w:rFonts w:ascii="Cambria" w:hAnsi="Cambria" w:cs="Tahoma"/>
          <w:sz w:val="24"/>
          <w:szCs w:val="24"/>
        </w:rPr>
        <w:t xml:space="preserve">sto debido a que se ajusto y se creó un indicador general por el proceso de Gestión de la Calidad </w:t>
      </w:r>
      <w:r w:rsidR="00F13F3A" w:rsidRPr="00DC1B96">
        <w:rPr>
          <w:rFonts w:ascii="Cambria" w:hAnsi="Cambria" w:cs="Tahoma"/>
          <w:b/>
          <w:bCs/>
          <w:sz w:val="24"/>
          <w:szCs w:val="24"/>
        </w:rPr>
        <w:t>“</w:t>
      </w:r>
      <w:r w:rsidR="00560A1A" w:rsidRPr="00DC1B96">
        <w:rPr>
          <w:rFonts w:ascii="Cambria" w:hAnsi="Cambria"/>
          <w:b/>
          <w:bCs/>
          <w:sz w:val="24"/>
          <w:szCs w:val="24"/>
        </w:rPr>
        <w:t>Proporción de satisfacción global – UNICORDOBA</w:t>
      </w:r>
      <w:r w:rsidR="00DE1884" w:rsidRPr="00DC1B96">
        <w:rPr>
          <w:rFonts w:ascii="Cambria" w:hAnsi="Cambria"/>
          <w:b/>
          <w:bCs/>
          <w:sz w:val="24"/>
          <w:szCs w:val="24"/>
        </w:rPr>
        <w:t>”</w:t>
      </w:r>
      <w:r w:rsidR="00DE1884">
        <w:rPr>
          <w:rFonts w:ascii="Cambria" w:hAnsi="Cambria"/>
          <w:sz w:val="24"/>
          <w:szCs w:val="24"/>
        </w:rPr>
        <w:t>,</w:t>
      </w:r>
      <w:r>
        <w:rPr>
          <w:rFonts w:ascii="Cambria" w:hAnsi="Cambria"/>
          <w:sz w:val="24"/>
          <w:szCs w:val="24"/>
        </w:rPr>
        <w:t xml:space="preserve"> para el 2025 se espera que este indicador sea muy superior debido a que se encuentran </w:t>
      </w:r>
      <w:r w:rsidR="006B250F">
        <w:rPr>
          <w:rFonts w:ascii="Cambria" w:hAnsi="Cambria"/>
          <w:sz w:val="24"/>
          <w:szCs w:val="24"/>
        </w:rPr>
        <w:t>algún proceso inmerso</w:t>
      </w:r>
      <w:r>
        <w:rPr>
          <w:rFonts w:ascii="Cambria" w:hAnsi="Cambria"/>
          <w:sz w:val="24"/>
          <w:szCs w:val="24"/>
        </w:rPr>
        <w:t xml:space="preserve"> en dicha medición.</w:t>
      </w:r>
    </w:p>
    <w:p w14:paraId="532185CF" w14:textId="66789986" w:rsidR="00560A1A" w:rsidRPr="00560A1A" w:rsidRDefault="000F2704" w:rsidP="00560A1A">
      <w:pPr>
        <w:spacing w:line="276" w:lineRule="auto"/>
        <w:ind w:right="312"/>
        <w:jc w:val="both"/>
        <w:rPr>
          <w:rFonts w:ascii="Cambria" w:hAnsi="Cambria"/>
          <w:sz w:val="24"/>
          <w:szCs w:val="24"/>
        </w:rPr>
      </w:pPr>
      <w:r w:rsidRPr="00DC1B96">
        <w:rPr>
          <w:rFonts w:ascii="Cambria" w:hAnsi="Cambria"/>
          <w:b/>
          <w:bCs/>
          <w:sz w:val="24"/>
          <w:szCs w:val="24"/>
        </w:rPr>
        <w:lastRenderedPageBreak/>
        <w:t>Cabe resaltar !!!</w:t>
      </w:r>
    </w:p>
    <w:p w14:paraId="48172792" w14:textId="71575899" w:rsidR="00560A1A" w:rsidRPr="00560A1A" w:rsidRDefault="00560A1A" w:rsidP="00560A1A">
      <w:pPr>
        <w:spacing w:line="276" w:lineRule="auto"/>
        <w:ind w:right="312"/>
        <w:jc w:val="both"/>
        <w:rPr>
          <w:rFonts w:ascii="Cambria" w:hAnsi="Cambria"/>
          <w:sz w:val="24"/>
          <w:szCs w:val="24"/>
        </w:rPr>
      </w:pPr>
      <w:r w:rsidRPr="00560A1A">
        <w:rPr>
          <w:rFonts w:ascii="Cambria" w:hAnsi="Cambria"/>
          <w:sz w:val="24"/>
          <w:szCs w:val="24"/>
        </w:rPr>
        <w:t>Adicionalmente, se </w:t>
      </w:r>
      <w:r w:rsidRPr="00560A1A">
        <w:rPr>
          <w:rFonts w:ascii="Cambria" w:hAnsi="Cambria"/>
          <w:b/>
          <w:bCs/>
          <w:sz w:val="24"/>
          <w:szCs w:val="24"/>
        </w:rPr>
        <w:t>exaltan</w:t>
      </w:r>
      <w:r w:rsidRPr="00560A1A">
        <w:rPr>
          <w:rFonts w:ascii="Cambria" w:hAnsi="Cambria"/>
          <w:sz w:val="24"/>
          <w:szCs w:val="24"/>
        </w:rPr>
        <w:t xml:space="preserve"> a los siguientes procesos por cumplir el procedimiento en los tiempos correspondientes </w:t>
      </w:r>
      <w:r w:rsidR="000F2704" w:rsidRPr="00DC1B96">
        <w:rPr>
          <w:rFonts w:ascii="Cambria" w:hAnsi="Cambria"/>
          <w:sz w:val="24"/>
          <w:szCs w:val="24"/>
        </w:rPr>
        <w:t xml:space="preserve">en la </w:t>
      </w:r>
      <w:r w:rsidRPr="00560A1A">
        <w:rPr>
          <w:rFonts w:ascii="Cambria" w:hAnsi="Cambria"/>
          <w:sz w:val="24"/>
          <w:szCs w:val="24"/>
        </w:rPr>
        <w:t>medición de sus indicadores</w:t>
      </w:r>
      <w:r w:rsidR="000F2704" w:rsidRPr="00DC1B96">
        <w:rPr>
          <w:rFonts w:ascii="Cambria" w:hAnsi="Cambria"/>
          <w:sz w:val="24"/>
          <w:szCs w:val="24"/>
        </w:rPr>
        <w:t xml:space="preserve"> y análisis correspondientes.</w:t>
      </w:r>
    </w:p>
    <w:p w14:paraId="161566DA"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Comunicaciones</w:t>
      </w:r>
    </w:p>
    <w:p w14:paraId="3A96980F"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Internacionalización</w:t>
      </w:r>
    </w:p>
    <w:p w14:paraId="7970FCE2"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Gestión del Desarrollo Tecnológico</w:t>
      </w:r>
    </w:p>
    <w:p w14:paraId="6AF44165"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Planeación Institucional</w:t>
      </w:r>
    </w:p>
    <w:p w14:paraId="75DFCA75"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Gestión de la Calidad</w:t>
      </w:r>
    </w:p>
    <w:p w14:paraId="18CAA61D"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Desarrollo del Talento Humano</w:t>
      </w:r>
    </w:p>
    <w:p w14:paraId="568BFDD9"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Bienestar Institucional</w:t>
      </w:r>
    </w:p>
    <w:p w14:paraId="48266D47" w14:textId="77777777" w:rsidR="00C85322" w:rsidRPr="00DC1B96" w:rsidRDefault="00560A1A" w:rsidP="00560A1A">
      <w:pPr>
        <w:pStyle w:val="Prrafodelista"/>
        <w:numPr>
          <w:ilvl w:val="0"/>
          <w:numId w:val="7"/>
        </w:numPr>
        <w:spacing w:line="276" w:lineRule="auto"/>
        <w:ind w:right="312"/>
        <w:rPr>
          <w:rFonts w:ascii="Cambria" w:hAnsi="Cambria"/>
          <w:szCs w:val="24"/>
        </w:rPr>
      </w:pPr>
      <w:r w:rsidRPr="00DC1B96">
        <w:rPr>
          <w:rFonts w:ascii="Cambria" w:hAnsi="Cambria"/>
          <w:szCs w:val="24"/>
        </w:rPr>
        <w:t>Seguimiento y Control</w:t>
      </w:r>
    </w:p>
    <w:p w14:paraId="65DD38A8" w14:textId="25CD0A96" w:rsidR="00560A1A" w:rsidRPr="00DC1B96" w:rsidRDefault="00560A1A" w:rsidP="00DB026A">
      <w:pPr>
        <w:pStyle w:val="Prrafodelista"/>
        <w:numPr>
          <w:ilvl w:val="0"/>
          <w:numId w:val="7"/>
        </w:numPr>
        <w:spacing w:line="276" w:lineRule="auto"/>
        <w:ind w:right="312"/>
        <w:rPr>
          <w:rFonts w:ascii="Cambria" w:hAnsi="Cambria"/>
          <w:szCs w:val="24"/>
        </w:rPr>
      </w:pPr>
      <w:r w:rsidRPr="00DC1B96">
        <w:rPr>
          <w:rFonts w:ascii="Cambria" w:hAnsi="Cambria"/>
          <w:szCs w:val="24"/>
        </w:rPr>
        <w:t>Gestión Documental.</w:t>
      </w:r>
    </w:p>
    <w:p w14:paraId="4001F11B" w14:textId="107EA1A3" w:rsidR="00DB026A" w:rsidRPr="006B250F" w:rsidRDefault="00DB026A" w:rsidP="00DB026A">
      <w:pPr>
        <w:spacing w:line="276" w:lineRule="auto"/>
        <w:ind w:right="312"/>
        <w:jc w:val="both"/>
        <w:rPr>
          <w:rFonts w:ascii="Cambria" w:hAnsi="Cambria"/>
          <w:sz w:val="24"/>
          <w:szCs w:val="24"/>
        </w:rPr>
      </w:pPr>
      <w:r w:rsidRPr="006B250F">
        <w:rPr>
          <w:rFonts w:ascii="Cambria" w:hAnsi="Cambria"/>
          <w:sz w:val="24"/>
          <w:szCs w:val="24"/>
        </w:rPr>
        <w:t xml:space="preserve">Para mayor detalle, favor consultar el </w:t>
      </w:r>
      <w:r w:rsidRPr="006B250F">
        <w:rPr>
          <w:rFonts w:ascii="Cambria" w:hAnsi="Cambria"/>
          <w:b/>
          <w:sz w:val="24"/>
          <w:szCs w:val="24"/>
        </w:rPr>
        <w:t>CONSOLIDADO DE RESULTADOS DE LOS INDICADORES</w:t>
      </w:r>
      <w:r w:rsidR="006B250F" w:rsidRPr="006B250F">
        <w:rPr>
          <w:rFonts w:ascii="Cambria" w:hAnsi="Cambria"/>
          <w:b/>
          <w:sz w:val="24"/>
          <w:szCs w:val="24"/>
        </w:rPr>
        <w:t xml:space="preserve"> </w:t>
      </w:r>
      <w:r w:rsidR="006B250F" w:rsidRPr="006B250F">
        <w:rPr>
          <w:rFonts w:ascii="Cambria" w:hAnsi="Cambria"/>
          <w:b/>
          <w:bCs/>
          <w:sz w:val="24"/>
          <w:szCs w:val="24"/>
          <w:lang w:val="es-ES"/>
        </w:rPr>
        <w:t>SISTEMA INTEGRADO DE GESTIÓN Y ASEGURAMIENTO DE LA CALIDAD</w:t>
      </w:r>
      <w:r w:rsidRPr="006B250F">
        <w:rPr>
          <w:rFonts w:ascii="Cambria" w:hAnsi="Cambria"/>
          <w:sz w:val="24"/>
          <w:szCs w:val="24"/>
        </w:rPr>
        <w:t>, anexo a este</w:t>
      </w:r>
      <w:r w:rsidRPr="006B250F">
        <w:rPr>
          <w:rFonts w:ascii="Cambria" w:hAnsi="Cambria"/>
          <w:spacing w:val="1"/>
          <w:sz w:val="24"/>
          <w:szCs w:val="24"/>
        </w:rPr>
        <w:t xml:space="preserve"> </w:t>
      </w:r>
      <w:r w:rsidRPr="006B250F">
        <w:rPr>
          <w:rFonts w:ascii="Cambria" w:hAnsi="Cambria"/>
          <w:sz w:val="24"/>
          <w:szCs w:val="24"/>
        </w:rPr>
        <w:t>informe.</w:t>
      </w:r>
    </w:p>
    <w:p w14:paraId="731BAC11" w14:textId="445C8F18" w:rsidR="00DB026A" w:rsidRPr="00DC1B96" w:rsidRDefault="00DB026A" w:rsidP="00764FEB">
      <w:pPr>
        <w:pStyle w:val="Textoindependiente"/>
        <w:spacing w:before="1" w:line="276" w:lineRule="auto"/>
        <w:ind w:right="312"/>
        <w:jc w:val="both"/>
      </w:pPr>
      <w:r w:rsidRPr="00DC1B96">
        <w:t xml:space="preserve">Con el propósito de continuar con la mejora del </w:t>
      </w:r>
      <w:r w:rsidR="00764FEB" w:rsidRPr="00DC1B96">
        <w:t xml:space="preserve">sistema integrado de gestión y aseguramiento de la calidad </w:t>
      </w:r>
      <w:r w:rsidRPr="00DC1B96">
        <w:t>se sugiere a los diferentes líderes de procesos</w:t>
      </w:r>
      <w:r w:rsidRPr="00DC1B96">
        <w:rPr>
          <w:spacing w:val="1"/>
        </w:rPr>
        <w:t xml:space="preserve"> </w:t>
      </w:r>
      <w:r w:rsidRPr="00DC1B96">
        <w:t>que revisen las metas definidas para los indicadores y ajusten las mismas para que cada vez sean más ambiciosas conforme a</w:t>
      </w:r>
      <w:r w:rsidRPr="00DC1B96">
        <w:rPr>
          <w:spacing w:val="1"/>
        </w:rPr>
        <w:t xml:space="preserve"> </w:t>
      </w:r>
      <w:r w:rsidRPr="00DC1B96">
        <w:t>los</w:t>
      </w:r>
      <w:r w:rsidRPr="00DC1B96">
        <w:rPr>
          <w:spacing w:val="-2"/>
        </w:rPr>
        <w:t xml:space="preserve"> </w:t>
      </w:r>
      <w:r w:rsidRPr="00DC1B96">
        <w:t>resultados que se han</w:t>
      </w:r>
      <w:r w:rsidRPr="00DC1B96">
        <w:rPr>
          <w:spacing w:val="-1"/>
        </w:rPr>
        <w:t xml:space="preserve"> </w:t>
      </w:r>
      <w:r w:rsidRPr="00DC1B96">
        <w:t>venido obteniendo.</w:t>
      </w:r>
    </w:p>
    <w:p w14:paraId="0BDB00D3" w14:textId="395CEADD" w:rsidR="00AB0697" w:rsidRPr="00DC1B96" w:rsidRDefault="00DB026A" w:rsidP="00DB026A">
      <w:pPr>
        <w:pStyle w:val="Textoindependiente"/>
        <w:spacing w:line="276" w:lineRule="auto"/>
        <w:ind w:right="325"/>
        <w:jc w:val="both"/>
      </w:pPr>
      <w:r w:rsidRPr="00DC1B96">
        <w:t>Así mismo, los procesos que aún no alcanzan la meta mínima, o bien apenas la superan, deben definir acciones correctivas y</w:t>
      </w:r>
      <w:r w:rsidRPr="00DC1B96">
        <w:rPr>
          <w:spacing w:val="1"/>
        </w:rPr>
        <w:t xml:space="preserve"> </w:t>
      </w:r>
      <w:r w:rsidRPr="00DC1B96">
        <w:t>preventivas</w:t>
      </w:r>
      <w:r w:rsidRPr="00DC1B96">
        <w:rPr>
          <w:spacing w:val="-2"/>
        </w:rPr>
        <w:t xml:space="preserve"> </w:t>
      </w:r>
      <w:r w:rsidRPr="00DC1B96">
        <w:t>que</w:t>
      </w:r>
      <w:r w:rsidRPr="00DC1B96">
        <w:rPr>
          <w:spacing w:val="-2"/>
        </w:rPr>
        <w:t xml:space="preserve"> </w:t>
      </w:r>
      <w:r w:rsidRPr="00DC1B96">
        <w:t>conlleven</w:t>
      </w:r>
      <w:r w:rsidRPr="00DC1B96">
        <w:rPr>
          <w:spacing w:val="-1"/>
        </w:rPr>
        <w:t xml:space="preserve"> </w:t>
      </w:r>
      <w:r w:rsidRPr="00DC1B96">
        <w:t>al</w:t>
      </w:r>
      <w:r w:rsidRPr="00DC1B96">
        <w:rPr>
          <w:spacing w:val="-2"/>
        </w:rPr>
        <w:t xml:space="preserve"> </w:t>
      </w:r>
      <w:r w:rsidRPr="00DC1B96">
        <w:t>cumplimiento</w:t>
      </w:r>
      <w:r w:rsidRPr="00DC1B96">
        <w:rPr>
          <w:spacing w:val="-3"/>
        </w:rPr>
        <w:t xml:space="preserve"> </w:t>
      </w:r>
      <w:r w:rsidRPr="00DC1B96">
        <w:t>de</w:t>
      </w:r>
      <w:r w:rsidRPr="00DC1B96">
        <w:rPr>
          <w:spacing w:val="-1"/>
        </w:rPr>
        <w:t xml:space="preserve"> </w:t>
      </w:r>
      <w:r w:rsidRPr="00DC1B96">
        <w:t>las</w:t>
      </w:r>
      <w:r w:rsidRPr="00DC1B96">
        <w:rPr>
          <w:spacing w:val="-2"/>
        </w:rPr>
        <w:t xml:space="preserve"> </w:t>
      </w:r>
      <w:r w:rsidRPr="00DC1B96">
        <w:t>metas</w:t>
      </w:r>
      <w:r w:rsidRPr="00DC1B96">
        <w:rPr>
          <w:spacing w:val="-2"/>
        </w:rPr>
        <w:t xml:space="preserve"> </w:t>
      </w:r>
      <w:r w:rsidRPr="00DC1B96">
        <w:t>satisfactorias</w:t>
      </w:r>
      <w:r w:rsidRPr="00DC1B96">
        <w:rPr>
          <w:spacing w:val="-4"/>
        </w:rPr>
        <w:t xml:space="preserve"> </w:t>
      </w:r>
      <w:r w:rsidRPr="00DC1B96">
        <w:t>o</w:t>
      </w:r>
      <w:r w:rsidRPr="00DC1B96">
        <w:rPr>
          <w:spacing w:val="-2"/>
        </w:rPr>
        <w:t xml:space="preserve"> </w:t>
      </w:r>
      <w:r w:rsidRPr="00DC1B96">
        <w:t>sobresalientes</w:t>
      </w:r>
      <w:r w:rsidRPr="00DC1B96">
        <w:rPr>
          <w:spacing w:val="-1"/>
        </w:rPr>
        <w:t xml:space="preserve"> </w:t>
      </w:r>
      <w:r w:rsidRPr="00DC1B96">
        <w:t>especificadas</w:t>
      </w:r>
      <w:r w:rsidRPr="00DC1B96">
        <w:rPr>
          <w:spacing w:val="-2"/>
        </w:rPr>
        <w:t xml:space="preserve"> </w:t>
      </w:r>
      <w:r w:rsidRPr="00DC1B96">
        <w:t>para</w:t>
      </w:r>
      <w:r w:rsidRPr="00DC1B96">
        <w:rPr>
          <w:spacing w:val="-2"/>
        </w:rPr>
        <w:t xml:space="preserve"> </w:t>
      </w:r>
      <w:r w:rsidRPr="00DC1B96">
        <w:t>cada</w:t>
      </w:r>
      <w:r w:rsidRPr="00DC1B96">
        <w:rPr>
          <w:spacing w:val="-2"/>
        </w:rPr>
        <w:t xml:space="preserve"> </w:t>
      </w:r>
      <w:r w:rsidRPr="00DC1B96">
        <w:t>indicador.</w:t>
      </w:r>
    </w:p>
    <w:p w14:paraId="0516DD23" w14:textId="77777777" w:rsidR="00764FEB" w:rsidRPr="00DC1B96" w:rsidRDefault="00764FEB" w:rsidP="00DB026A">
      <w:pPr>
        <w:pStyle w:val="Textoindependiente"/>
        <w:spacing w:line="276" w:lineRule="auto"/>
        <w:ind w:right="325"/>
        <w:jc w:val="both"/>
      </w:pPr>
    </w:p>
    <w:p w14:paraId="5FF4B1C8" w14:textId="77777777" w:rsidR="00DB026A" w:rsidRPr="00DC1B96" w:rsidRDefault="00DB026A" w:rsidP="00DB026A">
      <w:pPr>
        <w:pStyle w:val="Textoindependiente"/>
        <w:spacing w:before="1" w:line="276" w:lineRule="auto"/>
        <w:ind w:right="312"/>
        <w:jc w:val="both"/>
      </w:pPr>
      <w:r w:rsidRPr="00DC1B96">
        <w:t>El Proceso de Planeación Institucional seguirá acompañando a los procesos en la revisión de los indicadores con el objetivo de</w:t>
      </w:r>
      <w:r w:rsidRPr="00DC1B96">
        <w:rPr>
          <w:spacing w:val="1"/>
        </w:rPr>
        <w:t xml:space="preserve"> </w:t>
      </w:r>
      <w:r w:rsidRPr="00DC1B96">
        <w:t>medir</w:t>
      </w:r>
      <w:r w:rsidRPr="00DC1B96">
        <w:rPr>
          <w:spacing w:val="-1"/>
        </w:rPr>
        <w:t xml:space="preserve"> </w:t>
      </w:r>
      <w:r w:rsidRPr="00DC1B96">
        <w:t>más</w:t>
      </w:r>
      <w:r w:rsidRPr="00DC1B96">
        <w:rPr>
          <w:spacing w:val="-1"/>
        </w:rPr>
        <w:t xml:space="preserve"> </w:t>
      </w:r>
      <w:r w:rsidRPr="00DC1B96">
        <w:t>acertadamente el</w:t>
      </w:r>
      <w:r w:rsidRPr="00DC1B96">
        <w:rPr>
          <w:spacing w:val="-1"/>
        </w:rPr>
        <w:t xml:space="preserve"> </w:t>
      </w:r>
      <w:r w:rsidRPr="00DC1B96">
        <w:t>logro de los</w:t>
      </w:r>
      <w:r w:rsidRPr="00DC1B96">
        <w:rPr>
          <w:spacing w:val="-1"/>
        </w:rPr>
        <w:t xml:space="preserve"> </w:t>
      </w:r>
      <w:r w:rsidRPr="00DC1B96">
        <w:t>objetivos</w:t>
      </w:r>
      <w:r w:rsidRPr="00DC1B96">
        <w:rPr>
          <w:spacing w:val="-1"/>
        </w:rPr>
        <w:t xml:space="preserve"> </w:t>
      </w:r>
      <w:r w:rsidRPr="00DC1B96">
        <w:t>del SIGEC.</w:t>
      </w:r>
    </w:p>
    <w:sectPr w:rsidR="00DB026A" w:rsidRPr="00DC1B96" w:rsidSect="00C85E81">
      <w:headerReference w:type="default" r:id="rId9"/>
      <w:footerReference w:type="default" r:id="rId10"/>
      <w:pgSz w:w="12240" w:h="15840"/>
      <w:pgMar w:top="2479" w:right="1041" w:bottom="1417" w:left="1701" w:header="993"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71CEEF" w14:textId="77777777" w:rsidR="008C1AE9" w:rsidRDefault="008C1AE9" w:rsidP="002E4E13">
      <w:pPr>
        <w:spacing w:after="0" w:line="240" w:lineRule="auto"/>
      </w:pPr>
      <w:r>
        <w:separator/>
      </w:r>
    </w:p>
  </w:endnote>
  <w:endnote w:type="continuationSeparator" w:id="0">
    <w:p w14:paraId="1352CD80" w14:textId="77777777" w:rsidR="008C1AE9" w:rsidRDefault="008C1AE9" w:rsidP="002E4E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9C0D256C-EAEF-4615-90EC-0C415A338C04}"/>
    <w:embedBold r:id="rId2" w:fontKey="{1C54918E-47C9-423C-A71E-41683B4A0634}"/>
    <w:embedBoldItalic r:id="rId3" w:fontKey="{3FEF1DA1-E13F-4DF7-98E0-0350B36B9ADA}"/>
  </w:font>
  <w:font w:name="Cambria">
    <w:altName w:val="Cambria"/>
    <w:panose1 w:val="02040503050406030204"/>
    <w:charset w:val="00"/>
    <w:family w:val="roman"/>
    <w:pitch w:val="variable"/>
    <w:sig w:usb0="E00006FF" w:usb1="420024FF" w:usb2="02000000" w:usb3="00000000" w:csb0="0000019F" w:csb1="00000000"/>
    <w:embedRegular r:id="rId4" w:fontKey="{0381D1B5-08A4-4028-A16F-0671CB7409CF}"/>
    <w:embedBold r:id="rId5" w:fontKey="{9D961AE4-9DAA-4B80-B281-50355E8EFD46}"/>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enguiat">
    <w:charset w:val="00"/>
    <w:family w:val="auto"/>
    <w:pitch w:val="variable"/>
    <w:sig w:usb0="20000A87" w:usb1="08000000" w:usb2="00000008" w:usb3="00000000" w:csb0="0000011B" w:csb1="00000000"/>
    <w:embedBold r:id="rId6" w:subsetted="1" w:fontKey="{BFDB8784-6B2C-401C-8F08-A238546C7F65}"/>
  </w:font>
  <w:font w:name="Myriad Pro">
    <w:altName w:val="Segoe UI"/>
    <w:panose1 w:val="00000000000000000000"/>
    <w:charset w:val="00"/>
    <w:family w:val="swiss"/>
    <w:notTrueType/>
    <w:pitch w:val="variable"/>
    <w:sig w:usb0="A00002AF" w:usb1="500020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D6C32B" w14:textId="3A1843EA" w:rsidR="00C34607" w:rsidRDefault="00C34607" w:rsidP="00C34607">
    <w:pPr>
      <w:pStyle w:val="Piedepgina"/>
      <w:jc w:val="center"/>
      <w:rPr>
        <w:rFonts w:ascii="Arial" w:hAnsi="Arial" w:cs="Arial"/>
        <w:color w:val="222222"/>
        <w:sz w:val="18"/>
        <w:szCs w:val="18"/>
        <w:shd w:val="clear" w:color="auto" w:fill="FFFFFF"/>
      </w:rPr>
    </w:pPr>
    <w:r>
      <w:rPr>
        <w:rFonts w:ascii="Arial" w:hAnsi="Arial" w:cs="Arial"/>
        <w:noProof/>
        <w:color w:val="222222"/>
        <w:sz w:val="18"/>
        <w:szCs w:val="18"/>
        <w:shd w:val="clear" w:color="auto" w:fill="FFFFFF"/>
      </w:rPr>
      <w:drawing>
        <wp:anchor distT="0" distB="0" distL="114300" distR="114300" simplePos="0" relativeHeight="251659264" behindDoc="0" locked="0" layoutInCell="1" allowOverlap="1" wp14:anchorId="3959CDB5" wp14:editId="1098A45C">
          <wp:simplePos x="0" y="0"/>
          <wp:positionH relativeFrom="column">
            <wp:posOffset>2072640</wp:posOffset>
          </wp:positionH>
          <wp:positionV relativeFrom="paragraph">
            <wp:posOffset>-157480</wp:posOffset>
          </wp:positionV>
          <wp:extent cx="1549276" cy="218576"/>
          <wp:effectExtent l="0" t="0" r="0" b="0"/>
          <wp:wrapNone/>
          <wp:docPr id="10701892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578501" name="Imagen 233578501"/>
                  <pic:cNvPicPr/>
                </pic:nvPicPr>
                <pic:blipFill>
                  <a:blip r:embed="rId1">
                    <a:extLst>
                      <a:ext uri="{28A0092B-C50C-407E-A947-70E740481C1C}">
                        <a14:useLocalDpi xmlns:a14="http://schemas.microsoft.com/office/drawing/2010/main" val="0"/>
                      </a:ext>
                    </a:extLst>
                  </a:blip>
                  <a:stretch>
                    <a:fillRect/>
                  </a:stretch>
                </pic:blipFill>
                <pic:spPr>
                  <a:xfrm>
                    <a:off x="0" y="0"/>
                    <a:ext cx="1549276" cy="218576"/>
                  </a:xfrm>
                  <a:prstGeom prst="rect">
                    <a:avLst/>
                  </a:prstGeom>
                </pic:spPr>
              </pic:pic>
            </a:graphicData>
          </a:graphic>
          <wp14:sizeRelH relativeFrom="margin">
            <wp14:pctWidth>0</wp14:pctWidth>
          </wp14:sizeRelH>
          <wp14:sizeRelV relativeFrom="margin">
            <wp14:pctHeight>0</wp14:pctHeight>
          </wp14:sizeRelV>
        </wp:anchor>
      </w:drawing>
    </w:r>
  </w:p>
  <w:p w14:paraId="2D0A2156" w14:textId="77777777" w:rsidR="00C34607" w:rsidRDefault="00C34607" w:rsidP="00C34607">
    <w:pPr>
      <w:pStyle w:val="Piedepgina"/>
      <w:ind w:left="-567"/>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Reacreditados Institucionalmente</w:t>
    </w:r>
    <w:r>
      <w:rPr>
        <w:rFonts w:ascii="Arial" w:hAnsi="Arial" w:cs="Arial"/>
        <w:color w:val="222222"/>
        <w:sz w:val="18"/>
        <w:szCs w:val="18"/>
        <w:shd w:val="clear" w:color="auto" w:fill="FFFFFF"/>
      </w:rPr>
      <w:t>, r</w:t>
    </w:r>
    <w:r w:rsidRPr="00DD5110">
      <w:rPr>
        <w:rFonts w:ascii="Arial" w:hAnsi="Arial" w:cs="Arial"/>
        <w:color w:val="222222"/>
        <w:sz w:val="18"/>
        <w:szCs w:val="18"/>
        <w:shd w:val="clear" w:color="auto" w:fill="FFFFFF"/>
      </w:rPr>
      <w:t>esolución N° 000020 del 11 de enero de 2023</w:t>
    </w:r>
    <w:r>
      <w:rPr>
        <w:rFonts w:ascii="Arial" w:hAnsi="Arial" w:cs="Arial"/>
        <w:color w:val="222222"/>
        <w:sz w:val="18"/>
        <w:szCs w:val="18"/>
        <w:shd w:val="clear" w:color="auto" w:fill="FFFFFF"/>
      </w:rPr>
      <w:t xml:space="preserve"> p</w:t>
    </w:r>
    <w:r w:rsidRPr="00DD5110">
      <w:rPr>
        <w:rFonts w:ascii="Arial" w:hAnsi="Arial" w:cs="Arial"/>
        <w:color w:val="222222"/>
        <w:sz w:val="18"/>
        <w:szCs w:val="18"/>
        <w:shd w:val="clear" w:color="auto" w:fill="FFFFFF"/>
      </w:rPr>
      <w:t>or</w:t>
    </w:r>
    <w:r>
      <w:rPr>
        <w:rFonts w:ascii="Arial" w:hAnsi="Arial" w:cs="Arial"/>
        <w:color w:val="222222"/>
        <w:sz w:val="18"/>
        <w:szCs w:val="18"/>
        <w:shd w:val="clear" w:color="auto" w:fill="FFFFFF"/>
      </w:rPr>
      <w:t xml:space="preserve"> el</w:t>
    </w:r>
  </w:p>
  <w:p w14:paraId="78ADBC7A" w14:textId="77777777" w:rsidR="00C34607" w:rsidRDefault="00C34607" w:rsidP="00C34607">
    <w:pPr>
      <w:pStyle w:val="Piedepgina"/>
      <w:ind w:left="-709"/>
      <w:jc w:val="center"/>
      <w:rPr>
        <w:rFonts w:ascii="Arial" w:hAnsi="Arial" w:cs="Arial"/>
        <w:color w:val="222222"/>
        <w:sz w:val="18"/>
        <w:szCs w:val="18"/>
        <w:shd w:val="clear" w:color="auto" w:fill="FFFFFF"/>
      </w:rPr>
    </w:pPr>
    <w:r w:rsidRPr="00DD5110">
      <w:rPr>
        <w:rFonts w:ascii="Arial" w:hAnsi="Arial" w:cs="Arial"/>
        <w:color w:val="222222"/>
        <w:sz w:val="18"/>
        <w:szCs w:val="18"/>
        <w:shd w:val="clear" w:color="auto" w:fill="FFFFFF"/>
      </w:rPr>
      <w:t>Ministerio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de Educación</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 xml:space="preserve">Nacional, certificados en: ISO: 9001 </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ISO</w:t>
    </w:r>
    <w:r>
      <w:rPr>
        <w:rFonts w:ascii="Arial" w:hAnsi="Arial" w:cs="Arial"/>
        <w:color w:val="222222"/>
        <w:sz w:val="18"/>
        <w:szCs w:val="18"/>
        <w:shd w:val="clear" w:color="auto" w:fill="FFFFFF"/>
      </w:rPr>
      <w:t>:</w:t>
    </w:r>
    <w:r w:rsidRPr="00DD5110">
      <w:rPr>
        <w:rFonts w:ascii="Arial" w:hAnsi="Arial" w:cs="Arial"/>
        <w:color w:val="222222"/>
        <w:sz w:val="18"/>
        <w:szCs w:val="18"/>
        <w:shd w:val="clear" w:color="auto" w:fill="FFFFFF"/>
      </w:rPr>
      <w:t xml:space="preserve"> 45001 e ISO</w:t>
    </w:r>
    <w:r>
      <w:rPr>
        <w:rFonts w:ascii="Arial" w:hAnsi="Arial" w:cs="Arial"/>
        <w:color w:val="222222"/>
        <w:sz w:val="18"/>
        <w:szCs w:val="18"/>
        <w:shd w:val="clear" w:color="auto" w:fill="FFFFFF"/>
      </w:rPr>
      <w:t xml:space="preserve">: </w:t>
    </w:r>
    <w:r w:rsidRPr="00DD5110">
      <w:rPr>
        <w:rFonts w:ascii="Arial" w:hAnsi="Arial" w:cs="Arial"/>
        <w:color w:val="222222"/>
        <w:sz w:val="18"/>
        <w:szCs w:val="18"/>
        <w:shd w:val="clear" w:color="auto" w:fill="FFFFFF"/>
      </w:rPr>
      <w:t>14001 ICONTEC</w:t>
    </w:r>
  </w:p>
  <w:p w14:paraId="3C24852A" w14:textId="77777777" w:rsidR="00C34607" w:rsidRPr="00DD5110" w:rsidRDefault="00C34607" w:rsidP="00C34607">
    <w:pPr>
      <w:pStyle w:val="Piedepgina"/>
      <w:ind w:left="-709"/>
      <w:jc w:val="center"/>
      <w:rPr>
        <w:rFonts w:ascii="Myriad Pro" w:hAnsi="Myriad Pro"/>
        <w:b/>
        <w:bCs/>
        <w:i/>
        <w:iCs/>
      </w:rPr>
    </w:pPr>
    <w:r w:rsidRPr="00DD5110">
      <w:rPr>
        <w:rFonts w:ascii="Myriad Pro" w:hAnsi="Myriad Pro"/>
        <w:b/>
        <w:bCs/>
        <w:i/>
        <w:iCs/>
      </w:rPr>
      <w:t>Unicórdoba, calidad, innovación e inclusión para la transformación del territorio</w:t>
    </w:r>
  </w:p>
  <w:p w14:paraId="60156503" w14:textId="77777777" w:rsidR="00C34607" w:rsidRPr="00037833" w:rsidRDefault="00C34607" w:rsidP="00C34607">
    <w:pPr>
      <w:pStyle w:val="Piedepgina"/>
      <w:ind w:left="-709"/>
      <w:jc w:val="center"/>
      <w:rPr>
        <w:rFonts w:ascii="Myriad Pro" w:hAnsi="Myriad Pro"/>
        <w:b/>
        <w:bCs/>
        <w:i/>
        <w:iCs/>
        <w:sz w:val="18"/>
        <w:szCs w:val="18"/>
      </w:rPr>
    </w:pPr>
    <w:r w:rsidRPr="009F42E3">
      <w:rPr>
        <w:rFonts w:ascii="Myriad Pro" w:hAnsi="Myriad Pro"/>
        <w:b/>
        <w:bCs/>
        <w:sz w:val="18"/>
        <w:szCs w:val="18"/>
      </w:rPr>
      <w:t>PBX: (604) 786 2396</w:t>
    </w:r>
    <w:r>
      <w:rPr>
        <w:rFonts w:ascii="Myriad Pro" w:hAnsi="Myriad Pro"/>
        <w:sz w:val="18"/>
        <w:szCs w:val="18"/>
      </w:rPr>
      <w:t xml:space="preserve"> - Carrera</w:t>
    </w:r>
    <w:r w:rsidRPr="00037833">
      <w:rPr>
        <w:rFonts w:ascii="Myriad Pro" w:hAnsi="Myriad Pro"/>
        <w:sz w:val="18"/>
        <w:szCs w:val="18"/>
      </w:rPr>
      <w:t xml:space="preserve"> 6</w:t>
    </w:r>
    <w:r w:rsidRPr="00792B50">
      <w:rPr>
        <w:rFonts w:ascii="Myriad Pro" w:hAnsi="Myriad Pro"/>
        <w:sz w:val="18"/>
        <w:szCs w:val="18"/>
      </w:rPr>
      <w:t>ª</w:t>
    </w:r>
    <w:r w:rsidRPr="00037833">
      <w:rPr>
        <w:rFonts w:ascii="Myriad Pro" w:hAnsi="Myriad Pro"/>
        <w:sz w:val="18"/>
        <w:szCs w:val="18"/>
      </w:rPr>
      <w:t>. No. 77-305 Montería - NIT: 891080031-3   -   www.unicordoba.edu.co</w:t>
    </w:r>
  </w:p>
  <w:p w14:paraId="3DFFC1A6" w14:textId="09B36FBC" w:rsidR="00037833" w:rsidRDefault="00037833" w:rsidP="00037833">
    <w:pPr>
      <w:pStyle w:val="Piedepgina"/>
      <w:jc w:val="center"/>
      <w:rPr>
        <w:rFonts w:ascii="Arial" w:hAnsi="Arial" w:cs="Arial"/>
        <w:color w:val="222222"/>
        <w:sz w:val="18"/>
        <w:szCs w:val="18"/>
        <w:shd w:val="clear" w:color="auto" w:fill="FFFFF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070641E" w14:textId="77777777" w:rsidR="008C1AE9" w:rsidRDefault="008C1AE9" w:rsidP="002E4E13">
      <w:pPr>
        <w:spacing w:after="0" w:line="240" w:lineRule="auto"/>
      </w:pPr>
      <w:r>
        <w:separator/>
      </w:r>
    </w:p>
  </w:footnote>
  <w:footnote w:type="continuationSeparator" w:id="0">
    <w:p w14:paraId="6C405DE4" w14:textId="77777777" w:rsidR="008C1AE9" w:rsidRDefault="008C1AE9" w:rsidP="002E4E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8FD007" w14:textId="5D11B0EE" w:rsidR="002E4E13" w:rsidRPr="009F42E3" w:rsidRDefault="009F42E3" w:rsidP="004B7205">
    <w:pPr>
      <w:pStyle w:val="Encabezado"/>
      <w:ind w:hanging="567"/>
      <w:rPr>
        <w:rFonts w:ascii="Benguiat" w:hAnsi="Benguiat" w:cs="Benguiat"/>
        <w:b/>
        <w:bCs/>
        <w:sz w:val="42"/>
        <w:szCs w:val="42"/>
      </w:rPr>
    </w:pPr>
    <w:r w:rsidRPr="009F42E3">
      <w:rPr>
        <w:rFonts w:ascii="Benguiat" w:hAnsi="Benguiat" w:cs="Benguiat"/>
        <w:b/>
        <w:bCs/>
        <w:noProof/>
        <w:sz w:val="42"/>
        <w:szCs w:val="42"/>
      </w:rPr>
      <w:drawing>
        <wp:anchor distT="0" distB="0" distL="114300" distR="114300" simplePos="0" relativeHeight="251660288" behindDoc="1" locked="0" layoutInCell="1" allowOverlap="1" wp14:anchorId="5C6026B3" wp14:editId="57FFF21B">
          <wp:simplePos x="0" y="0"/>
          <wp:positionH relativeFrom="column">
            <wp:posOffset>-1251585</wp:posOffset>
          </wp:positionH>
          <wp:positionV relativeFrom="paragraph">
            <wp:posOffset>-468630</wp:posOffset>
          </wp:positionV>
          <wp:extent cx="7661194" cy="1334135"/>
          <wp:effectExtent l="0" t="0" r="0" b="0"/>
          <wp:wrapNone/>
          <wp:docPr id="5551732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882634" name="Imagen 1786882634"/>
                  <pic:cNvPicPr/>
                </pic:nvPicPr>
                <pic:blipFill>
                  <a:blip r:embed="rId1">
                    <a:extLst>
                      <a:ext uri="{28A0092B-C50C-407E-A947-70E740481C1C}">
                        <a14:useLocalDpi xmlns:a14="http://schemas.microsoft.com/office/drawing/2010/main" val="0"/>
                      </a:ext>
                    </a:extLst>
                  </a:blip>
                  <a:stretch>
                    <a:fillRect/>
                  </a:stretch>
                </pic:blipFill>
                <pic:spPr>
                  <a:xfrm>
                    <a:off x="0" y="0"/>
                    <a:ext cx="7661194" cy="1334135"/>
                  </a:xfrm>
                  <a:prstGeom prst="rect">
                    <a:avLst/>
                  </a:prstGeom>
                </pic:spPr>
              </pic:pic>
            </a:graphicData>
          </a:graphic>
          <wp14:sizeRelH relativeFrom="margin">
            <wp14:pctWidth>0</wp14:pctWidth>
          </wp14:sizeRelH>
          <wp14:sizeRelV relativeFrom="margin">
            <wp14:pctHeight>0</wp14:pctHeight>
          </wp14:sizeRelV>
        </wp:anchor>
      </w:drawing>
    </w:r>
    <w:r w:rsidR="002E4E13" w:rsidRPr="009F42E3">
      <w:rPr>
        <w:rFonts w:ascii="Benguiat" w:hAnsi="Benguiat" w:cs="Benguiat"/>
        <w:b/>
        <w:bCs/>
        <w:sz w:val="42"/>
        <w:szCs w:val="42"/>
      </w:rPr>
      <w:t>Universidad de Córdoba</w:t>
    </w:r>
  </w:p>
  <w:p w14:paraId="27C0219A" w14:textId="0CB49D7A" w:rsidR="002E4E13" w:rsidRPr="002E4E13" w:rsidRDefault="0028576A" w:rsidP="004B7205">
    <w:pPr>
      <w:pStyle w:val="Encabezado"/>
      <w:ind w:hanging="567"/>
      <w:rPr>
        <w:rFonts w:ascii="Myriad Pro" w:hAnsi="Myriad Pro"/>
      </w:rPr>
    </w:pPr>
    <w:r>
      <w:rPr>
        <w:rFonts w:ascii="Myriad Pro" w:hAnsi="Myriad Pro"/>
      </w:rPr>
      <w:t xml:space="preserve">Dirección de </w:t>
    </w:r>
    <w:r w:rsidR="0068452A">
      <w:rPr>
        <w:rFonts w:ascii="Myriad Pro" w:hAnsi="Myriad Pro"/>
      </w:rPr>
      <w:t>P</w:t>
    </w:r>
    <w:r>
      <w:rPr>
        <w:rFonts w:ascii="Myriad Pro" w:hAnsi="Myriad Pro"/>
      </w:rPr>
      <w:t xml:space="preserve">laneación y </w:t>
    </w:r>
    <w:r w:rsidR="0068452A">
      <w:rPr>
        <w:rFonts w:ascii="Myriad Pro" w:hAnsi="Myriad Pro"/>
      </w:rPr>
      <w:t>D</w:t>
    </w:r>
    <w:r>
      <w:rPr>
        <w:rFonts w:ascii="Myriad Pro" w:hAnsi="Myriad Pro"/>
      </w:rPr>
      <w:t>esarrollo “Estadística”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2E53F3"/>
    <w:multiLevelType w:val="multilevel"/>
    <w:tmpl w:val="D7A0D8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2882519"/>
    <w:multiLevelType w:val="hybridMultilevel"/>
    <w:tmpl w:val="EE0C089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5E510D4C"/>
    <w:multiLevelType w:val="hybridMultilevel"/>
    <w:tmpl w:val="CD944E48"/>
    <w:lvl w:ilvl="0" w:tplc="240A0013">
      <w:start w:val="1"/>
      <w:numFmt w:val="upperRoman"/>
      <w:lvlText w:val="%1."/>
      <w:lvlJc w:val="righ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66867C5E"/>
    <w:multiLevelType w:val="multilevel"/>
    <w:tmpl w:val="ECA65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D802132"/>
    <w:multiLevelType w:val="hybridMultilevel"/>
    <w:tmpl w:val="423A21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6E2F5C7D"/>
    <w:multiLevelType w:val="hybridMultilevel"/>
    <w:tmpl w:val="D1F432BC"/>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700F3903"/>
    <w:multiLevelType w:val="multilevel"/>
    <w:tmpl w:val="E98409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573860663">
    <w:abstractNumId w:val="2"/>
  </w:num>
  <w:num w:numId="2" w16cid:durableId="806045637">
    <w:abstractNumId w:val="3"/>
  </w:num>
  <w:num w:numId="3" w16cid:durableId="123620584">
    <w:abstractNumId w:val="0"/>
  </w:num>
  <w:num w:numId="4" w16cid:durableId="1605335893">
    <w:abstractNumId w:val="6"/>
  </w:num>
  <w:num w:numId="5" w16cid:durableId="780496248">
    <w:abstractNumId w:val="4"/>
  </w:num>
  <w:num w:numId="6" w16cid:durableId="668410106">
    <w:abstractNumId w:val="1"/>
  </w:num>
  <w:num w:numId="7" w16cid:durableId="17881323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6"/>
  <w:embedTrueTypeFonts/>
  <w:saveSubset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4E13"/>
    <w:rsid w:val="00026C18"/>
    <w:rsid w:val="00037833"/>
    <w:rsid w:val="000B2AF6"/>
    <w:rsid w:val="000B6241"/>
    <w:rsid w:val="000F0C49"/>
    <w:rsid w:val="000F2704"/>
    <w:rsid w:val="00144416"/>
    <w:rsid w:val="00166E77"/>
    <w:rsid w:val="00186514"/>
    <w:rsid w:val="0019011C"/>
    <w:rsid w:val="001A119D"/>
    <w:rsid w:val="001D52AC"/>
    <w:rsid w:val="001D58C5"/>
    <w:rsid w:val="0020164B"/>
    <w:rsid w:val="00205F33"/>
    <w:rsid w:val="00223899"/>
    <w:rsid w:val="002275F3"/>
    <w:rsid w:val="0028576A"/>
    <w:rsid w:val="00287702"/>
    <w:rsid w:val="002C7006"/>
    <w:rsid w:val="002E4E13"/>
    <w:rsid w:val="002E5156"/>
    <w:rsid w:val="0035506C"/>
    <w:rsid w:val="00386CF7"/>
    <w:rsid w:val="003B7635"/>
    <w:rsid w:val="003C78C7"/>
    <w:rsid w:val="003F2C03"/>
    <w:rsid w:val="0047309B"/>
    <w:rsid w:val="004B7205"/>
    <w:rsid w:val="004F024D"/>
    <w:rsid w:val="00516DCD"/>
    <w:rsid w:val="00560A1A"/>
    <w:rsid w:val="00603F0D"/>
    <w:rsid w:val="00610489"/>
    <w:rsid w:val="0061119D"/>
    <w:rsid w:val="00651AE1"/>
    <w:rsid w:val="0068452A"/>
    <w:rsid w:val="006A7D03"/>
    <w:rsid w:val="006B250F"/>
    <w:rsid w:val="006C01D5"/>
    <w:rsid w:val="006C0E31"/>
    <w:rsid w:val="006D2C0F"/>
    <w:rsid w:val="006D74B3"/>
    <w:rsid w:val="007339C0"/>
    <w:rsid w:val="00764FEB"/>
    <w:rsid w:val="00775B69"/>
    <w:rsid w:val="00776030"/>
    <w:rsid w:val="007808D5"/>
    <w:rsid w:val="00792B50"/>
    <w:rsid w:val="007B4C0C"/>
    <w:rsid w:val="00831D6F"/>
    <w:rsid w:val="008C1AE9"/>
    <w:rsid w:val="008D11CC"/>
    <w:rsid w:val="008F0773"/>
    <w:rsid w:val="008F0D35"/>
    <w:rsid w:val="00905874"/>
    <w:rsid w:val="009C4B35"/>
    <w:rsid w:val="009D70E5"/>
    <w:rsid w:val="009F42E3"/>
    <w:rsid w:val="00A0055A"/>
    <w:rsid w:val="00A06027"/>
    <w:rsid w:val="00A140A9"/>
    <w:rsid w:val="00A43449"/>
    <w:rsid w:val="00AB0697"/>
    <w:rsid w:val="00AB0E3E"/>
    <w:rsid w:val="00AE2B25"/>
    <w:rsid w:val="00B277A8"/>
    <w:rsid w:val="00B60C1C"/>
    <w:rsid w:val="00B71889"/>
    <w:rsid w:val="00BD1A9B"/>
    <w:rsid w:val="00BF0D9D"/>
    <w:rsid w:val="00C26E54"/>
    <w:rsid w:val="00C34607"/>
    <w:rsid w:val="00C66019"/>
    <w:rsid w:val="00C85322"/>
    <w:rsid w:val="00C85E81"/>
    <w:rsid w:val="00CA1876"/>
    <w:rsid w:val="00CB558C"/>
    <w:rsid w:val="00CC0978"/>
    <w:rsid w:val="00D2742F"/>
    <w:rsid w:val="00D90FB9"/>
    <w:rsid w:val="00DA00C8"/>
    <w:rsid w:val="00DB026A"/>
    <w:rsid w:val="00DC1B96"/>
    <w:rsid w:val="00DD5110"/>
    <w:rsid w:val="00DD5BC3"/>
    <w:rsid w:val="00DE1884"/>
    <w:rsid w:val="00E35EB4"/>
    <w:rsid w:val="00EE6FFE"/>
    <w:rsid w:val="00F13F3A"/>
    <w:rsid w:val="00F53675"/>
    <w:rsid w:val="00F834DC"/>
    <w:rsid w:val="00FC4C1F"/>
    <w:rsid w:val="00FD443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EE0E81"/>
  <w15:chartTrackingRefBased/>
  <w15:docId w15:val="{5983F61D-99ED-4369-AAA0-9156E1B416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s-C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E4E1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E4E13"/>
  </w:style>
  <w:style w:type="paragraph" w:styleId="Piedepgina">
    <w:name w:val="footer"/>
    <w:basedOn w:val="Normal"/>
    <w:link w:val="PiedepginaCar"/>
    <w:uiPriority w:val="99"/>
    <w:unhideWhenUsed/>
    <w:rsid w:val="002E4E1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E4E13"/>
  </w:style>
  <w:style w:type="character" w:styleId="Hipervnculo">
    <w:name w:val="Hyperlink"/>
    <w:basedOn w:val="Fuentedeprrafopredeter"/>
    <w:uiPriority w:val="99"/>
    <w:unhideWhenUsed/>
    <w:rsid w:val="002E4E13"/>
    <w:rPr>
      <w:color w:val="0563C1" w:themeColor="hyperlink"/>
      <w:u w:val="single"/>
    </w:rPr>
  </w:style>
  <w:style w:type="character" w:styleId="Mencinsinresolver">
    <w:name w:val="Unresolved Mention"/>
    <w:basedOn w:val="Fuentedeprrafopredeter"/>
    <w:uiPriority w:val="99"/>
    <w:semiHidden/>
    <w:unhideWhenUsed/>
    <w:rsid w:val="002E4E13"/>
    <w:rPr>
      <w:color w:val="605E5C"/>
      <w:shd w:val="clear" w:color="auto" w:fill="E1DFDD"/>
    </w:rPr>
  </w:style>
  <w:style w:type="paragraph" w:styleId="Prrafodelista">
    <w:name w:val="List Paragraph"/>
    <w:basedOn w:val="Normal"/>
    <w:uiPriority w:val="1"/>
    <w:qFormat/>
    <w:rsid w:val="00BF0D9D"/>
    <w:pPr>
      <w:ind w:left="720"/>
      <w:contextualSpacing/>
      <w:jc w:val="both"/>
    </w:pPr>
    <w:rPr>
      <w:rFonts w:ascii="Times New Roman" w:eastAsia="Times New Roman" w:hAnsi="Times New Roman" w:cs="Times New Roman"/>
      <w:kern w:val="0"/>
      <w:sz w:val="24"/>
      <w14:ligatures w14:val="none"/>
    </w:rPr>
  </w:style>
  <w:style w:type="paragraph" w:styleId="Textoindependiente">
    <w:name w:val="Body Text"/>
    <w:basedOn w:val="Normal"/>
    <w:link w:val="TextoindependienteCar"/>
    <w:uiPriority w:val="1"/>
    <w:qFormat/>
    <w:rsid w:val="00386CF7"/>
    <w:pPr>
      <w:widowControl w:val="0"/>
      <w:autoSpaceDE w:val="0"/>
      <w:autoSpaceDN w:val="0"/>
      <w:spacing w:after="0" w:line="240" w:lineRule="auto"/>
    </w:pPr>
    <w:rPr>
      <w:rFonts w:ascii="Cambria" w:eastAsia="Cambria" w:hAnsi="Cambria" w:cs="Cambria"/>
      <w:kern w:val="0"/>
      <w:sz w:val="24"/>
      <w:szCs w:val="24"/>
      <w:lang w:val="es-ES"/>
      <w14:ligatures w14:val="none"/>
    </w:rPr>
  </w:style>
  <w:style w:type="character" w:customStyle="1" w:styleId="TextoindependienteCar">
    <w:name w:val="Texto independiente Car"/>
    <w:basedOn w:val="Fuentedeprrafopredeter"/>
    <w:link w:val="Textoindependiente"/>
    <w:uiPriority w:val="1"/>
    <w:rsid w:val="00386CF7"/>
    <w:rPr>
      <w:rFonts w:ascii="Cambria" w:eastAsia="Cambria" w:hAnsi="Cambria" w:cs="Cambria"/>
      <w:kern w:val="0"/>
      <w:sz w:val="24"/>
      <w:szCs w:val="24"/>
      <w:lang w:val="es-E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914550">
      <w:bodyDiv w:val="1"/>
      <w:marLeft w:val="0"/>
      <w:marRight w:val="0"/>
      <w:marTop w:val="0"/>
      <w:marBottom w:val="0"/>
      <w:divBdr>
        <w:top w:val="none" w:sz="0" w:space="0" w:color="auto"/>
        <w:left w:val="none" w:sz="0" w:space="0" w:color="auto"/>
        <w:bottom w:val="none" w:sz="0" w:space="0" w:color="auto"/>
        <w:right w:val="none" w:sz="0" w:space="0" w:color="auto"/>
      </w:divBdr>
    </w:div>
    <w:div w:id="100682888">
      <w:bodyDiv w:val="1"/>
      <w:marLeft w:val="0"/>
      <w:marRight w:val="0"/>
      <w:marTop w:val="0"/>
      <w:marBottom w:val="0"/>
      <w:divBdr>
        <w:top w:val="none" w:sz="0" w:space="0" w:color="auto"/>
        <w:left w:val="none" w:sz="0" w:space="0" w:color="auto"/>
        <w:bottom w:val="none" w:sz="0" w:space="0" w:color="auto"/>
        <w:right w:val="none" w:sz="0" w:space="0" w:color="auto"/>
      </w:divBdr>
    </w:div>
    <w:div w:id="137454288">
      <w:bodyDiv w:val="1"/>
      <w:marLeft w:val="0"/>
      <w:marRight w:val="0"/>
      <w:marTop w:val="0"/>
      <w:marBottom w:val="0"/>
      <w:divBdr>
        <w:top w:val="none" w:sz="0" w:space="0" w:color="auto"/>
        <w:left w:val="none" w:sz="0" w:space="0" w:color="auto"/>
        <w:bottom w:val="none" w:sz="0" w:space="0" w:color="auto"/>
        <w:right w:val="none" w:sz="0" w:space="0" w:color="auto"/>
      </w:divBdr>
    </w:div>
    <w:div w:id="322323665">
      <w:bodyDiv w:val="1"/>
      <w:marLeft w:val="0"/>
      <w:marRight w:val="0"/>
      <w:marTop w:val="0"/>
      <w:marBottom w:val="0"/>
      <w:divBdr>
        <w:top w:val="none" w:sz="0" w:space="0" w:color="auto"/>
        <w:left w:val="none" w:sz="0" w:space="0" w:color="auto"/>
        <w:bottom w:val="none" w:sz="0" w:space="0" w:color="auto"/>
        <w:right w:val="none" w:sz="0" w:space="0" w:color="auto"/>
      </w:divBdr>
    </w:div>
    <w:div w:id="1302074609">
      <w:bodyDiv w:val="1"/>
      <w:marLeft w:val="0"/>
      <w:marRight w:val="0"/>
      <w:marTop w:val="0"/>
      <w:marBottom w:val="0"/>
      <w:divBdr>
        <w:top w:val="none" w:sz="0" w:space="0" w:color="auto"/>
        <w:left w:val="none" w:sz="0" w:space="0" w:color="auto"/>
        <w:bottom w:val="none" w:sz="0" w:space="0" w:color="auto"/>
        <w:right w:val="none" w:sz="0" w:space="0" w:color="auto"/>
      </w:divBdr>
    </w:div>
    <w:div w:id="1303384074">
      <w:bodyDiv w:val="1"/>
      <w:marLeft w:val="0"/>
      <w:marRight w:val="0"/>
      <w:marTop w:val="0"/>
      <w:marBottom w:val="0"/>
      <w:divBdr>
        <w:top w:val="none" w:sz="0" w:space="0" w:color="auto"/>
        <w:left w:val="none" w:sz="0" w:space="0" w:color="auto"/>
        <w:bottom w:val="none" w:sz="0" w:space="0" w:color="auto"/>
        <w:right w:val="none" w:sz="0" w:space="0" w:color="auto"/>
      </w:divBdr>
    </w:div>
    <w:div w:id="1510026863">
      <w:bodyDiv w:val="1"/>
      <w:marLeft w:val="0"/>
      <w:marRight w:val="0"/>
      <w:marTop w:val="0"/>
      <w:marBottom w:val="0"/>
      <w:divBdr>
        <w:top w:val="none" w:sz="0" w:space="0" w:color="auto"/>
        <w:left w:val="none" w:sz="0" w:space="0" w:color="auto"/>
        <w:bottom w:val="none" w:sz="0" w:space="0" w:color="auto"/>
        <w:right w:val="none" w:sz="0" w:space="0" w:color="auto"/>
      </w:divBdr>
    </w:div>
    <w:div w:id="1751346639">
      <w:bodyDiv w:val="1"/>
      <w:marLeft w:val="0"/>
      <w:marRight w:val="0"/>
      <w:marTop w:val="0"/>
      <w:marBottom w:val="0"/>
      <w:divBdr>
        <w:top w:val="none" w:sz="0" w:space="0" w:color="auto"/>
        <w:left w:val="none" w:sz="0" w:space="0" w:color="auto"/>
        <w:bottom w:val="none" w:sz="0" w:space="0" w:color="auto"/>
        <w:right w:val="none" w:sz="0" w:space="0" w:color="auto"/>
      </w:divBdr>
    </w:div>
    <w:div w:id="1776561729">
      <w:bodyDiv w:val="1"/>
      <w:marLeft w:val="0"/>
      <w:marRight w:val="0"/>
      <w:marTop w:val="0"/>
      <w:marBottom w:val="0"/>
      <w:divBdr>
        <w:top w:val="none" w:sz="0" w:space="0" w:color="auto"/>
        <w:left w:val="none" w:sz="0" w:space="0" w:color="auto"/>
        <w:bottom w:val="none" w:sz="0" w:space="0" w:color="auto"/>
        <w:right w:val="none" w:sz="0" w:space="0" w:color="auto"/>
      </w:divBdr>
    </w:div>
    <w:div w:id="20395054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2.xml"/><Relationship Id="rId3" Type="http://schemas.openxmlformats.org/officeDocument/2006/relationships/settings" Target="settings.xml"/><Relationship Id="rId7" Type="http://schemas.openxmlformats.org/officeDocument/2006/relationships/chart" Target="charts/chart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oleObject" Target="file:///C:\Users\EdgarRamos\OneDrive%20-%20UNIVERSIDAD%20DE%20CORDOBA\Edgar%20Unicordoba\INDICADORES%202024\Informe%20seguimiento%20de%20indicadores%20%202024-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EdgarRamos\OneDrive%20-%20UNIVERSIDAD%20DE%20CORDOBA\Edgar%20Unicordoba\INDICADORES%202024\Informe%20seguimiento%20de%20indicadores%20%202024-I.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es-CO" sz="1200" b="1" i="0" u="none" strike="noStrike" kern="1200" spc="0" baseline="0">
                <a:solidFill>
                  <a:sysClr val="windowText" lastClr="000000"/>
                </a:solidFill>
              </a:rPr>
              <a:t>Medición de Indicadores del SIGEC 2024-I</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pieChart>
        <c:varyColors val="1"/>
        <c:ser>
          <c:idx val="0"/>
          <c:order val="0"/>
          <c:dPt>
            <c:idx val="0"/>
            <c:bubble3D val="0"/>
            <c:spPr>
              <a:solidFill>
                <a:srgbClr val="00B050"/>
              </a:solidFill>
              <a:ln w="19050">
                <a:solidFill>
                  <a:schemeClr val="lt1"/>
                </a:solidFill>
              </a:ln>
              <a:effectLst/>
            </c:spPr>
            <c:extLst>
              <c:ext xmlns:c16="http://schemas.microsoft.com/office/drawing/2014/chart" uri="{C3380CC4-5D6E-409C-BE32-E72D297353CC}">
                <c16:uniqueId val="{00000001-4407-4D1B-B057-2E954C210B01}"/>
              </c:ext>
            </c:extLst>
          </c:dPt>
          <c:dPt>
            <c:idx val="1"/>
            <c:bubble3D val="0"/>
            <c:spPr>
              <a:solidFill>
                <a:srgbClr val="FF0000"/>
              </a:solidFill>
              <a:ln w="19050">
                <a:solidFill>
                  <a:schemeClr val="lt1"/>
                </a:solidFill>
              </a:ln>
              <a:effectLst/>
            </c:spPr>
            <c:extLst>
              <c:ext xmlns:c16="http://schemas.microsoft.com/office/drawing/2014/chart" uri="{C3380CC4-5D6E-409C-BE32-E72D297353CC}">
                <c16:uniqueId val="{00000003-4407-4D1B-B057-2E954C210B01}"/>
              </c:ext>
            </c:extLst>
          </c:dPt>
          <c:dPt>
            <c:idx val="2"/>
            <c:bubble3D val="0"/>
            <c:spPr>
              <a:solidFill>
                <a:srgbClr val="FFFF00"/>
              </a:solidFill>
              <a:ln w="19050">
                <a:solidFill>
                  <a:schemeClr val="lt1"/>
                </a:solidFill>
              </a:ln>
              <a:effectLst/>
            </c:spPr>
            <c:extLst>
              <c:ext xmlns:c16="http://schemas.microsoft.com/office/drawing/2014/chart" uri="{C3380CC4-5D6E-409C-BE32-E72D297353CC}">
                <c16:uniqueId val="{00000005-4407-4D1B-B057-2E954C210B01}"/>
              </c:ext>
            </c:extLst>
          </c:dPt>
          <c:dLbls>
            <c:dLbl>
              <c:idx val="2"/>
              <c:layout>
                <c:manualLayout>
                  <c:x val="1.6707458442694664E-2"/>
                  <c:y val="8.2749343832020997E-2"/>
                </c:manualLayout>
              </c:layout>
              <c:showLegendKey val="0"/>
              <c:showVal val="0"/>
              <c:showCatName val="0"/>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407-4D1B-B057-2E954C210B0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s-CO"/>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Hoja4!$F$8:$F$10</c:f>
              <c:strCache>
                <c:ptCount val="3"/>
                <c:pt idx="0">
                  <c:v>Satisfactorio</c:v>
                </c:pt>
                <c:pt idx="1">
                  <c:v>Insuficiente</c:v>
                </c:pt>
                <c:pt idx="2">
                  <c:v>No se midió</c:v>
                </c:pt>
              </c:strCache>
            </c:strRef>
          </c:cat>
          <c:val>
            <c:numRef>
              <c:f>Hoja4!$G$8:$G$10</c:f>
              <c:numCache>
                <c:formatCode>General</c:formatCode>
                <c:ptCount val="3"/>
                <c:pt idx="0">
                  <c:v>63</c:v>
                </c:pt>
                <c:pt idx="1">
                  <c:v>5</c:v>
                </c:pt>
                <c:pt idx="2">
                  <c:v>2</c:v>
                </c:pt>
              </c:numCache>
            </c:numRef>
          </c:val>
          <c:extLst>
            <c:ext xmlns:c16="http://schemas.microsoft.com/office/drawing/2014/chart" uri="{C3380CC4-5D6E-409C-BE32-E72D297353CC}">
              <c16:uniqueId val="{00000006-4407-4D1B-B057-2E954C210B01}"/>
            </c:ext>
          </c:extLst>
        </c:ser>
        <c:dLbls>
          <c:showLegendKey val="0"/>
          <c:showVal val="0"/>
          <c:showCatName val="0"/>
          <c:showSerName val="0"/>
          <c:showPercent val="1"/>
          <c:showBubbleSize val="0"/>
          <c:showLeaderLines val="1"/>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Hoja4!$F$117:$F$127</c:f>
              <c:strCache>
                <c:ptCount val="11"/>
                <c:pt idx="0">
                  <c:v>2019-I</c:v>
                </c:pt>
                <c:pt idx="1">
                  <c:v>2019-2</c:v>
                </c:pt>
                <c:pt idx="2">
                  <c:v>2020-I</c:v>
                </c:pt>
                <c:pt idx="3">
                  <c:v>2020-II</c:v>
                </c:pt>
                <c:pt idx="4">
                  <c:v>2021-I</c:v>
                </c:pt>
                <c:pt idx="5">
                  <c:v>2021-II</c:v>
                </c:pt>
                <c:pt idx="6">
                  <c:v>2022-I</c:v>
                </c:pt>
                <c:pt idx="7">
                  <c:v>2022-II</c:v>
                </c:pt>
                <c:pt idx="8">
                  <c:v>2023-I</c:v>
                </c:pt>
                <c:pt idx="9">
                  <c:v>2023-II</c:v>
                </c:pt>
                <c:pt idx="10">
                  <c:v>2024-I</c:v>
                </c:pt>
              </c:strCache>
            </c:strRef>
          </c:cat>
          <c:val>
            <c:numRef>
              <c:f>Hoja4!$G$117:$G$127</c:f>
              <c:numCache>
                <c:formatCode>0.0%</c:formatCode>
                <c:ptCount val="11"/>
                <c:pt idx="0">
                  <c:v>0.93</c:v>
                </c:pt>
                <c:pt idx="1">
                  <c:v>0.85</c:v>
                </c:pt>
                <c:pt idx="2">
                  <c:v>0.88</c:v>
                </c:pt>
                <c:pt idx="3">
                  <c:v>0.87</c:v>
                </c:pt>
                <c:pt idx="4">
                  <c:v>0.93500000000000005</c:v>
                </c:pt>
                <c:pt idx="5">
                  <c:v>0.9556</c:v>
                </c:pt>
                <c:pt idx="6">
                  <c:v>0.89629999999999999</c:v>
                </c:pt>
                <c:pt idx="7">
                  <c:v>0.91170000000000007</c:v>
                </c:pt>
                <c:pt idx="8">
                  <c:v>0.91909999999999992</c:v>
                </c:pt>
                <c:pt idx="9">
                  <c:v>0.92949999999999999</c:v>
                </c:pt>
                <c:pt idx="10" formatCode="0.00%">
                  <c:v>0.72570000000000001</c:v>
                </c:pt>
              </c:numCache>
            </c:numRef>
          </c:val>
          <c:smooth val="0"/>
          <c:extLst>
            <c:ext xmlns:c16="http://schemas.microsoft.com/office/drawing/2014/chart" uri="{C3380CC4-5D6E-409C-BE32-E72D297353CC}">
              <c16:uniqueId val="{00000000-464C-4247-93A1-1FE5C28E8C64}"/>
            </c:ext>
          </c:extLst>
        </c:ser>
        <c:dLbls>
          <c:showLegendKey val="0"/>
          <c:showVal val="0"/>
          <c:showCatName val="0"/>
          <c:showSerName val="0"/>
          <c:showPercent val="0"/>
          <c:showBubbleSize val="0"/>
        </c:dLbls>
        <c:hiLowLines>
          <c:spPr>
            <a:ln w="9525" cap="flat" cmpd="sng" algn="ctr">
              <a:solidFill>
                <a:schemeClr val="tx1">
                  <a:lumMod val="75000"/>
                  <a:lumOff val="25000"/>
                </a:schemeClr>
              </a:solidFill>
              <a:round/>
            </a:ln>
            <a:effectLst/>
          </c:spPr>
        </c:hiLowLines>
        <c:marker val="1"/>
        <c:smooth val="0"/>
        <c:axId val="1630335600"/>
        <c:axId val="1630327920"/>
      </c:lineChart>
      <c:catAx>
        <c:axId val="1630335600"/>
        <c:scaling>
          <c:orientation val="minMax"/>
        </c:scaling>
        <c:delete val="0"/>
        <c:axPos val="b"/>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Año/Periodo</a:t>
                </a:r>
              </a:p>
            </c:rich>
          </c:tx>
          <c:overlay val="0"/>
          <c:spPr>
            <a:noFill/>
            <a:ln>
              <a:noFill/>
            </a:ln>
            <a:effectLst/>
          </c:spPr>
          <c:txPr>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630327920"/>
        <c:crosses val="autoZero"/>
        <c:auto val="1"/>
        <c:lblAlgn val="ctr"/>
        <c:lblOffset val="100"/>
        <c:noMultiLvlLbl val="0"/>
      </c:catAx>
      <c:valAx>
        <c:axId val="1630327920"/>
        <c:scaling>
          <c:orientation val="minMax"/>
          <c:max val="1"/>
          <c:min val="0.65000000000000013"/>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s-CO" b="1"/>
                  <a:t>Medición</a:t>
                </a:r>
              </a:p>
            </c:rich>
          </c:tx>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es-CO"/>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s-CO"/>
          </a:p>
        </c:txPr>
        <c:crossAx val="163033560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455</TotalTime>
  <Pages>7</Pages>
  <Words>1379</Words>
  <Characters>7588</Characters>
  <Application>Microsoft Office Word</Application>
  <DocSecurity>0</DocSecurity>
  <Lines>63</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Administrador</dc:creator>
  <cp:keywords/>
  <dc:description/>
  <cp:lastModifiedBy>Edgar Raos Ramirez</cp:lastModifiedBy>
  <cp:revision>57</cp:revision>
  <dcterms:created xsi:type="dcterms:W3CDTF">2024-09-25T13:21:00Z</dcterms:created>
  <dcterms:modified xsi:type="dcterms:W3CDTF">2024-09-26T15:20:00Z</dcterms:modified>
</cp:coreProperties>
</file>